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7C" w:rsidRDefault="00C96891" w:rsidP="004C3E7C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421666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421666">
        <w:rPr>
          <w:rFonts w:ascii="Tahoma" w:hAnsi="Tahoma" w:cs="Tahoma"/>
          <w:color w:val="0000FF"/>
          <w:sz w:val="28"/>
          <w:szCs w:val="28"/>
        </w:rPr>
        <w:t>10</w:t>
      </w:r>
      <w:r w:rsidR="00CE2DC6">
        <w:rPr>
          <w:rFonts w:ascii="Tahoma" w:hAnsi="Tahoma" w:cs="Tahoma"/>
          <w:color w:val="0000FF"/>
          <w:sz w:val="28"/>
          <w:szCs w:val="28"/>
        </w:rPr>
        <w:t xml:space="preserve"> ON-BOARD DIAGNOSIS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421666" w:rsidP="00421666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 xml:space="preserve">, Real World Fixes, Videos, Animations, and NATEF Task Sheet references.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7849"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2007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szCs w:val="22"/>
              </w:rPr>
            </w:pPr>
            <w:r w:rsidRPr="009E35A3">
              <w:rPr>
                <w:szCs w:val="22"/>
              </w:rPr>
              <w:t xml:space="preserve">Explain the chapter learning objectives to the students.  </w:t>
            </w:r>
          </w:p>
          <w:p w:rsidR="00020F57" w:rsidRDefault="00020F57" w:rsidP="005F0201">
            <w:pPr>
              <w:pStyle w:val="NumList"/>
            </w:pPr>
            <w:r w:rsidRPr="00020F57">
              <w:t xml:space="preserve">1. </w:t>
            </w:r>
            <w:r>
              <w:t xml:space="preserve"> </w:t>
            </w:r>
            <w:r w:rsidRPr="00020F57">
              <w:t>Understand the purpose and function of on-board diagnostics generation-II (OBD-II) systems.</w:t>
            </w:r>
          </w:p>
          <w:p w:rsidR="00020F57" w:rsidRDefault="00020F57" w:rsidP="005F0201">
            <w:pPr>
              <w:pStyle w:val="NumList"/>
            </w:pPr>
            <w:r w:rsidRPr="00020F57">
              <w:t xml:space="preserve">2. </w:t>
            </w:r>
            <w:r>
              <w:t xml:space="preserve"> </w:t>
            </w:r>
            <w:r w:rsidRPr="00020F57">
              <w:t>List the continuous and non</w:t>
            </w:r>
            <w:r>
              <w:t>-</w:t>
            </w:r>
            <w:r w:rsidRPr="00020F57">
              <w:t>continuous monitors.</w:t>
            </w:r>
          </w:p>
          <w:p w:rsidR="00020F57" w:rsidRDefault="00020F57" w:rsidP="005F0201">
            <w:pPr>
              <w:pStyle w:val="NumList"/>
            </w:pPr>
            <w:r w:rsidRPr="00020F57">
              <w:t xml:space="preserve">3. </w:t>
            </w:r>
            <w:r>
              <w:t xml:space="preserve"> </w:t>
            </w:r>
            <w:r w:rsidRPr="00020F57">
              <w:t xml:space="preserve">Understand the information obtained from an on-board diagnostics monitor and the criteria to enable an OBD monitor. </w:t>
            </w:r>
          </w:p>
          <w:p w:rsidR="00020F57" w:rsidRDefault="00020F57" w:rsidP="005F0201">
            <w:pPr>
              <w:pStyle w:val="NumList"/>
            </w:pPr>
            <w:r w:rsidRPr="00020F57">
              <w:t xml:space="preserve">4. </w:t>
            </w:r>
            <w:r>
              <w:t xml:space="preserve"> </w:t>
            </w:r>
            <w:r w:rsidRPr="00020F57">
              <w:t xml:space="preserve">Discuss the numbering designation of OBD-II diagnostic trouble codes. </w:t>
            </w:r>
          </w:p>
          <w:p w:rsidR="003747BB" w:rsidRPr="00A4344C" w:rsidRDefault="00020F57" w:rsidP="005F0201">
            <w:pPr>
              <w:pStyle w:val="NumList"/>
            </w:pPr>
            <w:r w:rsidRPr="00020F57">
              <w:t xml:space="preserve">5. </w:t>
            </w:r>
            <w:r>
              <w:t xml:space="preserve"> </w:t>
            </w:r>
            <w:r w:rsidRPr="00020F57">
              <w:t>Explain powertrain control module (PCM) tests and the modes of operation of OBD-II vehicles.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020F57" w:rsidRDefault="00020F57" w:rsidP="00020F57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F25FF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5F25FF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Diagnosis </w:t>
      </w:r>
      <w:r w:rsidRPr="005F25FF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F25FF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</w:p>
    <w:p w:rsidR="00154401" w:rsidRPr="00020F57" w:rsidRDefault="00020F57" w:rsidP="00020F57">
      <w:pPr>
        <w:keepNext/>
        <w:spacing w:after="60"/>
        <w:outlineLvl w:val="0"/>
        <w:rPr>
          <w:rFonts w:ascii="Arial Black" w:hAnsi="Arial Black"/>
        </w:rPr>
      </w:pPr>
      <w:r w:rsidRPr="00020F57">
        <w:rPr>
          <w:rFonts w:ascii="Arial Black" w:hAnsi="Arial Black" w:cs="Arial"/>
          <w:b/>
          <w:bCs/>
          <w:kern w:val="32"/>
          <w:sz w:val="32"/>
          <w:szCs w:val="32"/>
        </w:rPr>
        <w:t>LINK CHP</w:t>
      </w:r>
      <w:r>
        <w:rPr>
          <w:rFonts w:ascii="Arial Black" w:hAnsi="Arial Black" w:cs="Arial"/>
          <w:b/>
          <w:bCs/>
          <w:kern w:val="32"/>
          <w:sz w:val="32"/>
          <w:szCs w:val="32"/>
        </w:rPr>
        <w:t xml:space="preserve"> 10</w:t>
      </w:r>
      <w:r w:rsidRPr="00020F57">
        <w:rPr>
          <w:rFonts w:ascii="Arial Black" w:hAnsi="Arial Black" w:cs="Arial"/>
          <w:b/>
          <w:bCs/>
          <w:kern w:val="32"/>
          <w:sz w:val="32"/>
          <w:szCs w:val="32"/>
        </w:rPr>
        <w:t>:</w:t>
      </w:r>
      <w:r w:rsidRPr="00020F57">
        <w:rPr>
          <w:rFonts w:ascii="Arial Black" w:hAnsi="Arial Black" w:cs="Arial"/>
          <w:b/>
          <w:bCs/>
          <w:kern w:val="32"/>
          <w:sz w:val="32"/>
          <w:szCs w:val="32"/>
          <w:u w:val="single"/>
        </w:rPr>
        <w:t xml:space="preserve"> </w:t>
      </w:r>
      <w:hyperlink r:id="rId6" w:tgtFrame="_blank" w:history="1">
        <w:r w:rsidRPr="00020F57">
          <w:rPr>
            <w:rStyle w:val="Hyperlink"/>
            <w:rFonts w:ascii="Arial Black" w:hAnsi="Arial Black" w:cs="Arial"/>
            <w:b/>
            <w:bCs/>
            <w:kern w:val="32"/>
            <w:sz w:val="32"/>
            <w:szCs w:val="32"/>
          </w:rPr>
          <w:t>Chapter Images</w:t>
        </w:r>
      </w:hyperlink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57"/>
        <w:gridCol w:w="25"/>
      </w:tblGrid>
      <w:tr w:rsidR="007A33C3" w:rsidRPr="002351E0" w:rsidTr="005D7E33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2" w:type="dxa"/>
            <w:gridSpan w:val="2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12AB2" w:rsidRDefault="00C82F7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Ch10</w:t>
            </w:r>
            <w:r w:rsidR="00CE2DC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CE2DC6" w:rsidRPr="00CE2DC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ON-BOARD DIAGNOSIS</w:t>
            </w:r>
          </w:p>
        </w:tc>
      </w:tr>
      <w:tr w:rsidR="00312AB2" w:rsidRPr="00292E1A" w:rsidTr="005D7E33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5C6EB4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</w:tcPr>
          <w:p w:rsidR="00312AB2" w:rsidRPr="00CE2DC6" w:rsidRDefault="00312AB2" w:rsidP="0076226B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C82F71">
              <w:t>10</w:t>
            </w:r>
            <w:r w:rsidR="00CE2DC6">
              <w:t xml:space="preserve"> </w:t>
            </w:r>
            <w:r w:rsidR="00CE2DC6" w:rsidRPr="00CE2DC6">
              <w:t>ON-BOARD DIAGNOSIS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5C6EB4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10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123E8F" w:rsidTr="005D7E33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5C6EB4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" name="Picture 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Default="00020F57" w:rsidP="00020F57">
            <w:pPr>
              <w:pStyle w:val="SLIDE1"/>
              <w:rPr>
                <w:b/>
              </w:rPr>
            </w:pPr>
            <w:r>
              <w:rPr>
                <w:b/>
                <w:bCs/>
              </w:rPr>
              <w:t>2</w:t>
            </w:r>
            <w:r w:rsidR="00123E8F">
              <w:rPr>
                <w:b/>
                <w:bCs/>
              </w:rPr>
              <w:t xml:space="preserve">. SLIDE </w:t>
            </w:r>
            <w:r>
              <w:rPr>
                <w:b/>
                <w:bCs/>
              </w:rPr>
              <w:t>2</w:t>
            </w:r>
            <w:r w:rsidR="00123E8F">
              <w:rPr>
                <w:b/>
                <w:bCs/>
              </w:rPr>
              <w:t xml:space="preserve"> </w:t>
            </w:r>
            <w:r w:rsidR="00123E8F" w:rsidRPr="000D1194">
              <w:rPr>
                <w:b/>
                <w:color w:val="0000FF"/>
              </w:rPr>
              <w:t>EXPLAIN</w:t>
            </w:r>
            <w:r w:rsidR="00123E8F">
              <w:rPr>
                <w:b/>
                <w:bCs/>
              </w:rPr>
              <w:t xml:space="preserve"> </w:t>
            </w:r>
            <w:r w:rsidR="00123E8F" w:rsidRPr="006039C7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10</w:t>
            </w:r>
            <w:r w:rsidR="00123E8F" w:rsidRPr="006039C7">
              <w:rPr>
                <w:b/>
                <w:bCs/>
              </w:rPr>
              <w:t>-1</w:t>
            </w:r>
            <w:r w:rsidR="00123E8F" w:rsidRPr="006039C7">
              <w:t xml:space="preserve"> typical malfunction indicator lamp (MIL) often labeled “check engine” or “service engine soon” (SES).</w:t>
            </w:r>
          </w:p>
        </w:tc>
      </w:tr>
      <w:tr w:rsidR="005D7E33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62DF7" w:rsidRDefault="005C6EB4" w:rsidP="007526A7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5" name="Picture 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m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62DF7" w:rsidRDefault="005D7E33" w:rsidP="007526A7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>Connect a scan tool to OBD-II vehicle &amp; show students how to access monitor status. Then demonstrate Comprehensive Component Monitor operation by disconnecting a sensor such as engine coolant temperature with the key on. Show illuminated MIL &amp; stored DTC.</w:t>
            </w:r>
            <w:r w:rsidRPr="00050F8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020F57" w:rsidRPr="00020F57">
              <w:rPr>
                <w:rFonts w:eastAsia="MS Mincho"/>
                <w:bCs/>
                <w:color w:val="0000FF"/>
                <w:sz w:val="28"/>
                <w:u w:val="single"/>
              </w:rPr>
              <w:t>10</w:t>
            </w:r>
            <w:r w:rsidRPr="00050F8F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7" name="Picture 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students talk about purpose of onboard diagnostic systems. How did computer control systems function prior to OBD-I? Have the students discuss OBD-I. What were some of shortcomings/problems of OBD-I?  </w:t>
            </w:r>
          </w:p>
        </w:tc>
      </w:tr>
      <w:tr w:rsidR="00123E8F" w:rsidRPr="00C62DF7" w:rsidTr="005D7E33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5C6EB4" w:rsidP="00123E8F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8" name="Picture 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the students locate the </w:t>
            </w:r>
            <w:r w:rsidRPr="00050F8F">
              <w:rPr>
                <w:rFonts w:eastAsia="MS Mincho"/>
                <w:bCs/>
                <w:color w:val="0000FF"/>
                <w:sz w:val="28"/>
                <w:u w:val="single"/>
              </w:rPr>
              <w:t>diagnostic link connector (DLC)</w:t>
            </w:r>
            <w:r>
              <w:rPr>
                <w:rFonts w:eastAsia="MS Mincho"/>
                <w:lang w:eastAsia="ja-JP"/>
              </w:rPr>
              <w:t xml:space="preserve"> on several OBD-I vehicles using component locators. Ask students to compare various locations to standardized locations on an OBD-II vehicle </w:t>
            </w:r>
          </w:p>
        </w:tc>
      </w:tr>
      <w:tr w:rsidR="00123E8F" w:rsidRPr="00BF1DEF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9" name="Picture 9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Support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0" name="Picture 1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D2526" w:rsidRDefault="00123E8F" w:rsidP="00123E8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632142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632142">
              <w:t>Locate and interpret vehicle and major component identification numb</w:t>
            </w:r>
            <w:r>
              <w:t>ers:</w:t>
            </w:r>
            <w:r w:rsidRPr="0057007D">
              <w:rPr>
                <w:bCs/>
                <w:color w:val="0000FF"/>
                <w:sz w:val="28"/>
                <w:u w:val="single"/>
              </w:rPr>
              <w:t xml:space="preserve"> </w:t>
            </w:r>
            <w:r w:rsidRPr="0057007D">
              <w:t xml:space="preserve">Diagnose causes of emissions or driveability concerns with stored or active </w:t>
            </w:r>
            <w:r>
              <w:t>DTCS</w:t>
            </w:r>
            <w:r w:rsidRPr="0057007D">
              <w:t xml:space="preserve">; obtain, graph, </w:t>
            </w:r>
            <w:r>
              <w:t>&amp;</w:t>
            </w:r>
            <w:r w:rsidRPr="0057007D">
              <w:t xml:space="preserve"> interpret scan tool data</w:t>
            </w:r>
            <w:r>
              <w:t xml:space="preserve">: </w:t>
            </w:r>
            <w:r w:rsidR="005F0201">
              <w:t>DES</w:t>
            </w:r>
            <w:r w:rsidRPr="0057007D">
              <w:t xml:space="preserve">cribe importance of running all </w:t>
            </w:r>
            <w:r>
              <w:rPr>
                <w:bCs/>
                <w:color w:val="0000FF"/>
                <w:sz w:val="28"/>
                <w:u w:val="single"/>
              </w:rPr>
              <w:t>OBDII M</w:t>
            </w:r>
            <w:r w:rsidRPr="00A82671">
              <w:rPr>
                <w:bCs/>
                <w:color w:val="0000FF"/>
                <w:sz w:val="28"/>
                <w:u w:val="single"/>
              </w:rPr>
              <w:t>onitors</w:t>
            </w:r>
            <w:r w:rsidRPr="0057007D">
              <w:t xml:space="preserve"> for repair verification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11" name="Picture 1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2" name="Picture 1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examples of </w:t>
            </w:r>
            <w:r w:rsidRPr="00050F8F">
              <w:rPr>
                <w:rFonts w:eastAsia="MS Mincho"/>
                <w:bCs/>
                <w:color w:val="0000FF"/>
                <w:sz w:val="28"/>
                <w:u w:val="single"/>
              </w:rPr>
              <w:t>OBD-II monitors</w:t>
            </w:r>
            <w:r>
              <w:rPr>
                <w:rFonts w:eastAsia="MS Mincho"/>
                <w:lang w:eastAsia="ja-JP"/>
              </w:rPr>
              <w:t xml:space="preserve"> and how they operate. What is a monitor? 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3" name="Picture 13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structorNote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5F0201" w:rsidRDefault="00123E8F" w:rsidP="00123E8F">
            <w:pPr>
              <w:pStyle w:val="CurrAsset"/>
              <w:rPr>
                <w:bCs/>
                <w:color w:val="0000FF"/>
              </w:rPr>
            </w:pPr>
            <w:r w:rsidRPr="005F0201">
              <w:rPr>
                <w:bCs/>
                <w:color w:val="0000FF"/>
              </w:rPr>
              <w:t xml:space="preserve">Certain 1996 &amp; 1997 OBD-II vehicles could set a misfire DTC from operation on rough roads. </w:t>
            </w:r>
            <w:r w:rsidRPr="005F0201">
              <w:rPr>
                <w:rFonts w:eastAsia="MS Mincho"/>
                <w:bCs/>
                <w:color w:val="0000FF"/>
                <w:u w:val="single"/>
              </w:rPr>
              <w:t>Misfire Monitor</w:t>
            </w:r>
            <w:r w:rsidRPr="005F0201">
              <w:rPr>
                <w:bCs/>
                <w:color w:val="0000FF"/>
              </w:rPr>
              <w:t xml:space="preserve"> was very sensitive on these vehicles &amp; could misinterpret slight crankshaft speed variations caused by rough roads as ignition misfires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4" name="Picture 14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m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Default="00123E8F" w:rsidP="00123E8F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>Demonsstrate operation</w:t>
            </w:r>
          </w:p>
          <w:p w:rsidR="00123E8F" w:rsidRPr="00C62DF7" w:rsidRDefault="00123E8F" w:rsidP="00123E8F">
            <w:pPr>
              <w:pStyle w:val="CurrAsset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of </w:t>
            </w:r>
            <w:r w:rsidRPr="007F625B">
              <w:rPr>
                <w:rFonts w:eastAsia="MS Mincho"/>
                <w:bCs/>
                <w:color w:val="0000FF"/>
                <w:sz w:val="28"/>
                <w:u w:val="single"/>
              </w:rPr>
              <w:t>misfire monitor</w:t>
            </w:r>
            <w:r>
              <w:rPr>
                <w:rFonts w:eastAsia="MS Mincho"/>
                <w:lang w:eastAsia="ja-JP"/>
              </w:rPr>
              <w:t xml:space="preserve"> by closing electrode gap on spark plug and operating the engine. Once misfire has been detected, connect scan tool &amp; show DTC 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5" name="Picture 1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structorNotes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5F0201" w:rsidRDefault="00123E8F" w:rsidP="00123E8F">
            <w:pPr>
              <w:pStyle w:val="CurrAsset"/>
              <w:rPr>
                <w:bCs/>
                <w:color w:val="0000FF"/>
              </w:rPr>
            </w:pPr>
            <w:r w:rsidRPr="005F0201">
              <w:rPr>
                <w:bCs/>
                <w:color w:val="0000FF"/>
              </w:rPr>
              <w:t>Depending on PCM’s determination of misfire’s severity, misfire monitor may set pending code until ignition is cycled OFF &amp; engine is operated 2</w:t>
            </w:r>
            <w:r w:rsidRPr="005F0201">
              <w:rPr>
                <w:bCs/>
                <w:color w:val="0000FF"/>
                <w:vertAlign w:val="superscript"/>
              </w:rPr>
              <w:t>nd</w:t>
            </w:r>
            <w:r w:rsidRPr="005F0201">
              <w:rPr>
                <w:bCs/>
                <w:color w:val="0000FF"/>
              </w:rPr>
              <w:t xml:space="preserve"> time. After 2</w:t>
            </w:r>
            <w:r w:rsidRPr="005F0201">
              <w:rPr>
                <w:bCs/>
                <w:color w:val="0000FF"/>
                <w:vertAlign w:val="superscript"/>
              </w:rPr>
              <w:t>nd</w:t>
            </w:r>
            <w:r w:rsidRPr="005F0201">
              <w:rPr>
                <w:bCs/>
                <w:color w:val="0000FF"/>
              </w:rPr>
              <w:t xml:space="preserve"> failure, matured DTC sets, with MIL on 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6" name="Picture 1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7" name="Picture 1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discuss </w:t>
            </w:r>
            <w:r w:rsidRPr="007F625B">
              <w:rPr>
                <w:rFonts w:eastAsia="MS Mincho"/>
                <w:bCs/>
                <w:color w:val="0000FF"/>
                <w:sz w:val="28"/>
                <w:u w:val="single"/>
              </w:rPr>
              <w:t>enabling criteria</w:t>
            </w:r>
            <w:r>
              <w:rPr>
                <w:rFonts w:eastAsia="MS Mincho"/>
                <w:lang w:eastAsia="ja-JP"/>
              </w:rPr>
              <w:t xml:space="preserve"> and why they are important. What are conditions that must be met for each monitor to run?  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8" name="Picture 18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9" name="Picture 19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discuss criteria for a </w:t>
            </w:r>
            <w:r w:rsidRPr="007F625B">
              <w:rPr>
                <w:rFonts w:eastAsia="MS Mincho"/>
                <w:bCs/>
                <w:color w:val="0000FF"/>
                <w:sz w:val="28"/>
                <w:u w:val="single"/>
              </w:rPr>
              <w:t>TRIP</w:t>
            </w:r>
            <w:r>
              <w:rPr>
                <w:rFonts w:eastAsia="MS Mincho"/>
                <w:lang w:eastAsia="ja-JP"/>
              </w:rPr>
              <w:t xml:space="preserve"> and why they are important for the OBD-II system. What is a trip?  </w:t>
            </w:r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0" name="Picture 2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1" name="Picture 2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</w:t>
            </w:r>
            <w:r w:rsidRPr="007F625B">
              <w:rPr>
                <w:rFonts w:eastAsia="MS Mincho"/>
                <w:bCs/>
                <w:color w:val="0000FF"/>
                <w:sz w:val="28"/>
                <w:u w:val="single"/>
              </w:rPr>
              <w:t>DRIVE CYCLES.</w:t>
            </w:r>
            <w:r>
              <w:rPr>
                <w:rFonts w:eastAsia="MS Mincho"/>
                <w:lang w:eastAsia="ja-JP"/>
              </w:rPr>
              <w:t xml:space="preserve"> What is a drive cycle and how does it differ from a trip?</w:t>
            </w:r>
          </w:p>
        </w:tc>
      </w:tr>
      <w:tr w:rsidR="00123E8F" w:rsidRPr="009B3CFA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057A31" w:rsidRDefault="005C6EB4" w:rsidP="00123E8F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2" name="Picture 2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E8F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711F9B" w:rsidRDefault="00020F57" w:rsidP="00123E8F">
            <w:pPr>
              <w:pStyle w:val="CurrAsset"/>
              <w:rPr>
                <w:sz w:val="28"/>
                <w:szCs w:val="28"/>
              </w:rPr>
            </w:pPr>
            <w:hyperlink r:id="rId17" w:tgtFrame="_blank" w:history="1">
              <w:r w:rsidRPr="00020F57">
                <w:rPr>
                  <w:rStyle w:val="Hyperlink"/>
                  <w:sz w:val="28"/>
                  <w:szCs w:val="28"/>
                </w:rPr>
                <w:t>DTC (View)</w:t>
              </w:r>
            </w:hyperlink>
            <w:hyperlink r:id="rId18" w:tgtFrame="_blank" w:history="1">
              <w:r w:rsidRPr="00020F57">
                <w:rPr>
                  <w:rStyle w:val="Hyperlink"/>
                  <w:sz w:val="28"/>
                  <w:szCs w:val="28"/>
                </w:rPr>
                <w:t xml:space="preserve"> (Download)</w:t>
              </w:r>
            </w:hyperlink>
          </w:p>
        </w:tc>
      </w:tr>
      <w:tr w:rsidR="00123E8F" w:rsidRPr="00C62DF7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3" name="Picture 2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4" name="Picture 2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students discuss </w:t>
            </w:r>
            <w:r w:rsidRPr="006200EF">
              <w:rPr>
                <w:rFonts w:eastAsia="MS Mincho"/>
                <w:bCs/>
                <w:color w:val="0000FF"/>
                <w:sz w:val="28"/>
                <w:u w:val="single"/>
              </w:rPr>
              <w:t>numbering of DTCs.</w:t>
            </w:r>
            <w:r>
              <w:rPr>
                <w:rFonts w:eastAsia="MS Mincho"/>
                <w:lang w:eastAsia="ja-JP"/>
              </w:rPr>
              <w:t xml:space="preserve"> What are major categories of OBD-II designated DTCs? Explain numbering for OBD-II DTCs &amp; give some examples &amp; explanations (e.g., P0301- cylinder #1 misfire detected; P0441- incorrect evaporative purge flow </w:t>
            </w:r>
            <w:r>
              <w:rPr>
                <w:rFonts w:eastAsia="MS Mincho"/>
                <w:lang w:eastAsia="ja-JP"/>
              </w:rPr>
              <w:lastRenderedPageBreak/>
              <w:t xml:space="preserve">detected) </w:t>
            </w:r>
            <w:r w:rsidRPr="006200E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5D7E33">
              <w:rPr>
                <w:rFonts w:eastAsia="MS Mincho"/>
                <w:bCs/>
                <w:color w:val="0000FF"/>
                <w:sz w:val="28"/>
                <w:u w:val="single"/>
              </w:rPr>
              <w:t>3</w:t>
            </w:r>
            <w:r w:rsidRPr="006200EF">
              <w:rPr>
                <w:rFonts w:eastAsia="MS Mincho"/>
                <w:bCs/>
                <w:color w:val="0000FF"/>
                <w:sz w:val="28"/>
                <w:u w:val="single"/>
              </w:rPr>
              <w:t>-2</w:t>
            </w:r>
          </w:p>
        </w:tc>
      </w:tr>
      <w:tr w:rsidR="00123E8F" w:rsidTr="005D7E33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123E8F" w:rsidRPr="00682A98" w:rsidRDefault="005C6EB4" w:rsidP="00123E8F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>
                  <wp:extent cx="806450" cy="655320"/>
                  <wp:effectExtent l="0" t="0" r="0" b="0"/>
                  <wp:docPr id="25" name="Picture 2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A742A8" w:rsidRDefault="00020F57" w:rsidP="00020F57">
            <w:pPr>
              <w:pStyle w:val="SLIDE1"/>
              <w:rPr>
                <w:color w:val="800000"/>
              </w:rPr>
            </w:pPr>
            <w:r>
              <w:rPr>
                <w:b/>
                <w:bCs/>
              </w:rPr>
              <w:t>3</w:t>
            </w:r>
            <w:r w:rsidR="00123E8F">
              <w:rPr>
                <w:b/>
                <w:bCs/>
              </w:rPr>
              <w:t xml:space="preserve">. </w:t>
            </w:r>
            <w:r w:rsidR="005D7E33">
              <w:rPr>
                <w:b/>
                <w:bCs/>
              </w:rPr>
              <w:t xml:space="preserve"> </w:t>
            </w:r>
            <w:r w:rsidR="00123E8F">
              <w:rPr>
                <w:b/>
                <w:bCs/>
              </w:rPr>
              <w:t xml:space="preserve">SLIDE </w:t>
            </w:r>
            <w:r>
              <w:rPr>
                <w:b/>
                <w:bCs/>
              </w:rPr>
              <w:t>3</w:t>
            </w:r>
            <w:r w:rsidR="00123E8F">
              <w:rPr>
                <w:b/>
                <w:bCs/>
              </w:rPr>
              <w:t xml:space="preserve"> </w:t>
            </w:r>
            <w:r w:rsidR="00123E8F" w:rsidRPr="000D1194">
              <w:rPr>
                <w:b/>
                <w:color w:val="0000FF"/>
              </w:rPr>
              <w:t>EXPLAIN</w:t>
            </w:r>
            <w:r w:rsidR="00123E8F">
              <w:rPr>
                <w:b/>
                <w:bCs/>
              </w:rPr>
              <w:t xml:space="preserve"> </w:t>
            </w:r>
            <w:r w:rsidR="00123E8F" w:rsidRPr="006039C7">
              <w:rPr>
                <w:b/>
                <w:bCs/>
              </w:rPr>
              <w:t xml:space="preserve">Figure </w:t>
            </w:r>
            <w:r w:rsidRPr="00020F57">
              <w:rPr>
                <w:b/>
                <w:bCs/>
              </w:rPr>
              <w:t>10</w:t>
            </w:r>
            <w:r w:rsidR="00123E8F" w:rsidRPr="006039C7">
              <w:rPr>
                <w:b/>
                <w:bCs/>
              </w:rPr>
              <w:t>-2</w:t>
            </w:r>
            <w:r w:rsidR="00123E8F" w:rsidRPr="006039C7">
              <w:t xml:space="preserve">    OBD-II DTC identification format.</w:t>
            </w:r>
          </w:p>
        </w:tc>
      </w:tr>
      <w:tr w:rsidR="00123E8F" w:rsidRPr="00BF1DEF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26" name="Picture 26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WeSupport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7" name="Picture 2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D2526" w:rsidRDefault="00123E8F" w:rsidP="00123E8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316EDA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316EDA">
              <w:t>Retrieve and record diagnostic trouble codes, OBD monitor status, and freeze frame data; clear codes when applicable</w:t>
            </w:r>
          </w:p>
        </w:tc>
      </w:tr>
      <w:tr w:rsidR="00123E8F" w:rsidRPr="00BF1DEF" w:rsidTr="005D7E3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F1DEF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28" name="Picture 28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eSupport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9" name="Picture 2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BD2526" w:rsidRDefault="00123E8F" w:rsidP="00123E8F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316EDA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316EDA">
              <w:t xml:space="preserve">Diagnose emissions or driveability concerns </w:t>
            </w:r>
            <w:r w:rsidRPr="00316EDA">
              <w:rPr>
                <w:bCs/>
                <w:color w:val="0000FF"/>
                <w:sz w:val="28"/>
                <w:u w:val="single"/>
              </w:rPr>
              <w:t>W/O stored diagnostic trouble codes</w:t>
            </w:r>
            <w:r w:rsidRPr="00316EDA">
              <w:t>; determine necessary action</w:t>
            </w:r>
          </w:p>
        </w:tc>
      </w:tr>
      <w:tr w:rsidR="005D7E33" w:rsidRPr="00770536" w:rsidTr="005D7E33">
        <w:tblPrEx>
          <w:tblBorders>
            <w:top w:val="none" w:sz="0" w:space="0" w:color="auto"/>
          </w:tblBorders>
        </w:tblPrEx>
        <w:trPr>
          <w:gridAfter w:val="1"/>
          <w:wAfter w:w="25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5D7E33" w:rsidRDefault="005C6EB4" w:rsidP="007526A7">
            <w:pPr>
              <w:pStyle w:val="NoSpacing"/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30" name="Picture 30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1" name="Picture 3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  <w:tcBorders>
              <w:left w:val="single" w:sz="4" w:space="0" w:color="000000"/>
              <w:right w:val="single" w:sz="4" w:space="0" w:color="000000"/>
            </w:tcBorders>
          </w:tcPr>
          <w:p w:rsidR="005D7E33" w:rsidRPr="00206BAD" w:rsidRDefault="00C82F71" w:rsidP="007526A7">
            <w:pPr>
              <w:pStyle w:val="SLIDE2"/>
              <w:rPr>
                <w:color w:val="0000FF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 xml:space="preserve">DISCUSS </w:t>
            </w:r>
            <w:r w:rsidR="005D7E33" w:rsidRPr="002E5833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>FREQUENTLY ASKED QUESTION</w:t>
            </w:r>
          </w:p>
        </w:tc>
      </w:tr>
      <w:tr w:rsidR="005D7E33" w:rsidRPr="00C62DF7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Default="005C6EB4" w:rsidP="00123E8F"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2" name="Picture 3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7E33" w:rsidRPr="00C62DF7" w:rsidRDefault="00020F57" w:rsidP="005D7E33">
            <w:pPr>
              <w:pStyle w:val="SLIDE2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color w:val="0000FF"/>
              </w:rPr>
              <w:t>E</w:t>
            </w:r>
            <w:r w:rsidR="005D7E33" w:rsidRPr="000D1194">
              <w:rPr>
                <w:b/>
                <w:color w:val="0000FF"/>
              </w:rPr>
              <w:t>XPLAIN</w:t>
            </w:r>
            <w:r w:rsidR="005D7E33">
              <w:rPr>
                <w:b/>
                <w:bCs/>
              </w:rPr>
              <w:t xml:space="preserve"> </w:t>
            </w:r>
            <w:r w:rsidR="005D7E33" w:rsidRPr="006039C7">
              <w:rPr>
                <w:b/>
                <w:bCs/>
              </w:rPr>
              <w:t xml:space="preserve">CHART </w:t>
            </w:r>
            <w:r w:rsidRPr="00020F57">
              <w:rPr>
                <w:b/>
                <w:bCs/>
              </w:rPr>
              <w:t>10</w:t>
            </w:r>
            <w:r w:rsidR="005D7E33">
              <w:rPr>
                <w:b/>
                <w:bCs/>
              </w:rPr>
              <w:t>2</w:t>
            </w:r>
            <w:r w:rsidR="005D7E33" w:rsidRPr="006039C7">
              <w:rPr>
                <w:b/>
                <w:bCs/>
              </w:rPr>
              <w:t>–1</w:t>
            </w:r>
            <w:r w:rsidR="005D7E33" w:rsidRPr="006039C7">
              <w:t xml:space="preserve"> PCM Determination of Faults Chart</w:t>
            </w:r>
          </w:p>
        </w:tc>
      </w:tr>
      <w:tr w:rsidR="00123E8F" w:rsidRPr="00C62DF7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3" name="Picture 3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4" name="Picture 3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676EC3" w:rsidRDefault="00123E8F" w:rsidP="005D7E33">
            <w:pPr>
              <w:pStyle w:val="CurrAsset"/>
              <w:rPr>
                <w:rFonts w:eastAsia="MS Mincho"/>
                <w:bCs/>
                <w:color w:val="0000FF"/>
                <w:sz w:val="28"/>
                <w:u w:val="single"/>
              </w:rPr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T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 xml:space="preserve">ypes of DTCs. </w:t>
            </w:r>
            <w:r w:rsidRPr="00676EC3">
              <w:rPr>
                <w:rFonts w:eastAsia="MS Mincho"/>
              </w:rPr>
              <w:t>How are OBD-II DTCs classified for importance?</w:t>
            </w:r>
            <w:r>
              <w:rPr>
                <w:rFonts w:eastAsia="MS Mincho"/>
              </w:rPr>
              <w:t xml:space="preserve"> 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 xml:space="preserve">CHART </w:t>
            </w:r>
            <w:r w:rsidR="00020F57" w:rsidRPr="00020F57">
              <w:rPr>
                <w:rFonts w:eastAsia="MS Mincho"/>
                <w:bCs/>
                <w:color w:val="0000FF"/>
                <w:sz w:val="28"/>
                <w:u w:val="single"/>
              </w:rPr>
              <w:t>10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</w:p>
          <w:p w:rsidR="00123E8F" w:rsidRPr="00C62DF7" w:rsidRDefault="00123E8F" w:rsidP="00123E8F">
            <w:pPr>
              <w:pStyle w:val="CurrAsset"/>
            </w:pPr>
          </w:p>
        </w:tc>
      </w:tr>
      <w:tr w:rsidR="00123E8F" w:rsidRPr="00C62DF7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5" name="Picture 3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em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6" name="Picture 3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  <w:rPr>
                <w:rFonts w:eastAsia="MS Mincho"/>
                <w:lang w:eastAsia="ja-JP"/>
              </w:rPr>
            </w:pP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DEMONSTRATION:</w:t>
            </w:r>
            <w:r w:rsidRPr="00C62DF7">
              <w:t xml:space="preserve"> </w:t>
            </w:r>
            <w:r>
              <w:rPr>
                <w:rFonts w:eastAsia="MS Mincho"/>
                <w:szCs w:val="20"/>
              </w:rPr>
              <w:t>Create a one-trip failure of a two-trip code; for example, create a type B misfire by closing spark plug electrodes &amp; operating engine one time. Show students how to find pending DTCs with scan tool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 xml:space="preserve"> CHART </w:t>
            </w:r>
            <w:r w:rsidR="00020F57" w:rsidRPr="00020F57">
              <w:rPr>
                <w:rFonts w:eastAsia="MS Mincho"/>
                <w:bCs/>
                <w:color w:val="0000FF"/>
                <w:sz w:val="28"/>
                <w:u w:val="single"/>
              </w:rPr>
              <w:t>10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</w:p>
        </w:tc>
      </w:tr>
      <w:tr w:rsidR="00123E8F" w:rsidRPr="00C62DF7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7" name="Picture 3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8" name="Picture 3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Default="00123E8F" w:rsidP="00123E8F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 xml:space="preserve">PENDING CODES. </w:t>
            </w:r>
            <w:r>
              <w:rPr>
                <w:rFonts w:eastAsia="MS Mincho"/>
                <w:lang w:eastAsia="ja-JP"/>
              </w:rPr>
              <w:t>What are pending codes and where are they stored?</w:t>
            </w:r>
          </w:p>
          <w:p w:rsidR="00123E8F" w:rsidRPr="00C62DF7" w:rsidRDefault="00123E8F" w:rsidP="00123E8F">
            <w:pPr>
              <w:pStyle w:val="CurrAsset"/>
            </w:pPr>
          </w:p>
        </w:tc>
      </w:tr>
      <w:tr w:rsidR="00123E8F" w:rsidRPr="00C62DF7" w:rsidTr="007526A7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5C6EB4" w:rsidP="00123E8F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9" name="Picture 3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the students create pending DTCs on LAB VEHICLES their own cars. Have them retrieve the pending codes and freeze-frame data. </w:t>
            </w:r>
          </w:p>
        </w:tc>
      </w:tr>
      <w:tr w:rsidR="00123E8F" w:rsidRPr="00C62DF7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40" name="Picture 4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1" name="Picture 4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26A7" w:rsidRDefault="00123E8F" w:rsidP="00123E8F">
            <w:pPr>
              <w:pStyle w:val="CurrAsset"/>
              <w:rPr>
                <w:rFonts w:eastAsia="MS Mincho"/>
                <w:bCs/>
                <w:color w:val="0000FF"/>
                <w:sz w:val="28"/>
                <w:u w:val="single"/>
              </w:rPr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discuss 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 xml:space="preserve">PCM tests. </w:t>
            </w:r>
          </w:p>
          <w:p w:rsidR="007526A7" w:rsidRDefault="00123E8F" w:rsidP="00123E8F">
            <w:pPr>
              <w:pStyle w:val="CurrAsset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What is 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rationality testing</w:t>
            </w:r>
            <w:r>
              <w:rPr>
                <w:rFonts w:eastAsia="MS Mincho"/>
                <w:lang w:eastAsia="ja-JP"/>
              </w:rPr>
              <w:t xml:space="preserve">? </w:t>
            </w:r>
          </w:p>
          <w:p w:rsidR="00123E8F" w:rsidRPr="00C62DF7" w:rsidRDefault="00123E8F" w:rsidP="00123E8F">
            <w:pPr>
              <w:pStyle w:val="CurrAsset"/>
            </w:pPr>
            <w:r>
              <w:rPr>
                <w:rFonts w:eastAsia="MS Mincho"/>
                <w:lang w:eastAsia="ja-JP"/>
              </w:rPr>
              <w:t xml:space="preserve">What is 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functionality testing</w:t>
            </w:r>
            <w:r>
              <w:rPr>
                <w:rFonts w:eastAsia="MS Mincho"/>
                <w:lang w:eastAsia="ja-JP"/>
              </w:rPr>
              <w:t>?</w:t>
            </w:r>
            <w:r w:rsidR="007526A7">
              <w:rPr>
                <w:rFonts w:eastAsia="MS Mincho"/>
                <w:lang w:eastAsia="ja-JP"/>
              </w:rPr>
              <w:t xml:space="preserve"> </w:t>
            </w:r>
          </w:p>
        </w:tc>
      </w:tr>
      <w:tr w:rsidR="00123E8F" w:rsidRPr="009A77A8" w:rsidTr="007526A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9A77A8" w:rsidRDefault="005C6EB4" w:rsidP="00123E8F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42" name="Picture 42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em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3" name="Picture 4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epair Vehicle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E8F" w:rsidRPr="00C62DF7" w:rsidRDefault="00123E8F" w:rsidP="00123E8F">
            <w:pPr>
              <w:pStyle w:val="CurrAsset"/>
              <w:rPr>
                <w:bCs/>
                <w:color w:val="0000FF"/>
                <w:sz w:val="28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ON OBD-II V</w:t>
            </w:r>
            <w:r w:rsidRPr="00676EC3">
              <w:rPr>
                <w:rFonts w:eastAsia="MS Mincho"/>
                <w:bCs/>
                <w:color w:val="0000FF"/>
                <w:sz w:val="28"/>
                <w:u w:val="single"/>
              </w:rPr>
              <w:t>ehicle</w:t>
            </w:r>
            <w:r>
              <w:rPr>
                <w:rFonts w:eastAsia="MS Mincho"/>
                <w:lang w:eastAsia="ja-JP"/>
              </w:rPr>
              <w:t xml:space="preserve"> Disconnect a sensor, such as a coolant temperature sensor, to show students how PCM tests functionality. Show students DTC and create an opposing DTC by shorting connector terminals together. </w:t>
            </w:r>
          </w:p>
        </w:tc>
      </w:tr>
    </w:tbl>
    <w:p w:rsidR="00EF3545" w:rsidRDefault="00EF3545" w:rsidP="00474968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76F"/>
    <w:multiLevelType w:val="hybridMultilevel"/>
    <w:tmpl w:val="45DEBC6E"/>
    <w:lvl w:ilvl="0" w:tplc="D76283C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20F57"/>
    <w:rsid w:val="00057A6B"/>
    <w:rsid w:val="00075BED"/>
    <w:rsid w:val="00077F5E"/>
    <w:rsid w:val="000B2975"/>
    <w:rsid w:val="00120079"/>
    <w:rsid w:val="00123B18"/>
    <w:rsid w:val="00123E8F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C7F8A"/>
    <w:rsid w:val="00402FC3"/>
    <w:rsid w:val="00421666"/>
    <w:rsid w:val="00474968"/>
    <w:rsid w:val="00475279"/>
    <w:rsid w:val="004C3E7C"/>
    <w:rsid w:val="004C7E15"/>
    <w:rsid w:val="00512FCE"/>
    <w:rsid w:val="00534C22"/>
    <w:rsid w:val="005722D2"/>
    <w:rsid w:val="00574CC7"/>
    <w:rsid w:val="005758F3"/>
    <w:rsid w:val="005C6EB4"/>
    <w:rsid w:val="005D0985"/>
    <w:rsid w:val="005D7E33"/>
    <w:rsid w:val="005F0130"/>
    <w:rsid w:val="005F0201"/>
    <w:rsid w:val="005F26E4"/>
    <w:rsid w:val="006260FA"/>
    <w:rsid w:val="006277DD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526A7"/>
    <w:rsid w:val="0076226B"/>
    <w:rsid w:val="00774209"/>
    <w:rsid w:val="0077721A"/>
    <w:rsid w:val="00796F6F"/>
    <w:rsid w:val="007A33C3"/>
    <w:rsid w:val="007A6035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82F71"/>
    <w:rsid w:val="00C96891"/>
    <w:rsid w:val="00CB1B4C"/>
    <w:rsid w:val="00CC230F"/>
    <w:rsid w:val="00CC278F"/>
    <w:rsid w:val="00CE17C3"/>
    <w:rsid w:val="00CE21CF"/>
    <w:rsid w:val="00CE2DC6"/>
    <w:rsid w:val="00D0568F"/>
    <w:rsid w:val="00D05885"/>
    <w:rsid w:val="00D108AE"/>
    <w:rsid w:val="00D57880"/>
    <w:rsid w:val="00D637D6"/>
    <w:rsid w:val="00D86291"/>
    <w:rsid w:val="00D90AAC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307AF-C390-F348-9828-3E77ACD5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5F0201"/>
    <w:pPr>
      <w:spacing w:before="60" w:after="60"/>
      <w:ind w:left="288" w:hanging="288"/>
    </w:pPr>
    <w:rPr>
      <w:rFonts w:ascii="Calibri" w:eastAsia="Times New Roman" w:hAnsi="Calibri"/>
      <w:sz w:val="22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123E8F"/>
    <w:pPr>
      <w:ind w:left="864" w:hanging="576"/>
    </w:pPr>
  </w:style>
  <w:style w:type="paragraph" w:customStyle="1" w:styleId="Bullet">
    <w:name w:val="Bullet"/>
    <w:link w:val="BulletChar"/>
    <w:qFormat/>
    <w:rsid w:val="00123E8F"/>
    <w:pPr>
      <w:numPr>
        <w:numId w:val="2"/>
      </w:numPr>
      <w:spacing w:after="60"/>
      <w:ind w:left="720"/>
      <w:contextualSpacing/>
    </w:pPr>
    <w:rPr>
      <w:rFonts w:ascii="Calibri" w:eastAsia="Times New Roman" w:hAnsi="Calibri"/>
      <w:sz w:val="24"/>
    </w:rPr>
  </w:style>
  <w:style w:type="character" w:customStyle="1" w:styleId="BulletChar">
    <w:name w:val="Bullet Char"/>
    <w:link w:val="Bullet"/>
    <w:rsid w:val="00123E8F"/>
    <w:rPr>
      <w:rFonts w:ascii="Calibri" w:hAnsi="Calibri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jameshalderman.com/links/a8/flash/DTC.sw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jameshalderman.com/links/a8/html5/DTC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adv_eng_perf_5/ci/ib_ch_3.ppt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://www.jameshalderman.com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6458</CharactersWithSpaces>
  <SharedDoc>false</SharedDoc>
  <HLinks>
    <vt:vector size="30" baseType="variant">
      <vt:variant>
        <vt:i4>5177370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http://www.jameshalderman.com/links/a8/flash/DTC.swf</vt:lpwstr>
      </vt:variant>
      <vt:variant>
        <vt:lpwstr/>
      </vt:variant>
      <vt:variant>
        <vt:i4>30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http://www.jameshalderman.com/links/a8/html5/DTC.html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http://www.jameshalderman.com/links/book_adv_eng_perf_5/ci/ib_ch_3.ppt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2019-08-20T20:21:00Z</dcterms:created>
  <dcterms:modified xsi:type="dcterms:W3CDTF">2019-08-20T20:21:00Z</dcterms:modified>
</cp:coreProperties>
</file>