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C2130">
      <w:pPr>
        <w:pStyle w:val="Heading1"/>
        <w:rPr>
          <w:rFonts w:ascii="Tahoma" w:hAnsi="Tahoma" w:cs="Tahoma"/>
          <w:color w:val="0000FF"/>
        </w:rPr>
      </w:pPr>
      <w:bookmarkStart w:id="0" w:name="_GoBack"/>
      <w:bookmarkEnd w:id="0"/>
      <w:r>
        <w:rPr>
          <w:rFonts w:ascii="Tahoma" w:hAnsi="Tahoma" w:cs="Tahoma"/>
          <w:color w:val="0000FF"/>
        </w:rPr>
        <w:t xml:space="preserve">Introduction to Automotive Service </w:t>
      </w:r>
    </w:p>
    <w:p w:rsidR="00000000" w:rsidRDefault="003C2130">
      <w:pPr>
        <w:pStyle w:val="Heading1"/>
      </w:pPr>
      <w:r>
        <w:rPr>
          <w:rFonts w:ascii="Tahoma" w:hAnsi="Tahoma" w:cs="Tahoma"/>
          <w:color w:val="0000FF"/>
        </w:rPr>
        <w:t>Chapter 13 Vehicle Identification &amp; Emission Ratings</w:t>
      </w:r>
    </w:p>
    <w:p w:rsidR="00000000" w:rsidRDefault="003C2130">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3C2130">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3C2130">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ormalTable"/>
            </w:pPr>
            <w:r>
              <w:rPr>
                <w:rFonts w:ascii="Calibri" w:hAnsi="Calibri" w:cs="Calibri"/>
                <w:sz w:val="22"/>
                <w:szCs w:val="22"/>
              </w:rPr>
              <w:t>This course or class serves as an introduction to the world of automotive service. It correlates material to</w:t>
            </w:r>
            <w:r>
              <w:rPr>
                <w:rFonts w:ascii="Calibri" w:hAnsi="Calibri" w:cs="Calibri"/>
                <w:sz w:val="22"/>
                <w:szCs w:val="22"/>
              </w:rPr>
              <w:t xml:space="preserve">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w:t>
            </w:r>
            <w:r>
              <w:rPr>
                <w:rFonts w:ascii="Calibri" w:hAnsi="Calibri" w:cs="Calibri"/>
                <w:sz w:val="22"/>
                <w:szCs w:val="22"/>
              </w:rPr>
              <w:t>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umList"/>
              <w:ind w:left="0" w:firstLine="0"/>
              <w:rPr>
                <w:rFonts w:ascii="Calibri" w:hAnsi="Calibri" w:cs="Calibri"/>
              </w:rPr>
            </w:pPr>
            <w:r>
              <w:rPr>
                <w:rFonts w:ascii="Calibri" w:hAnsi="Calibri" w:cs="Calibri"/>
                <w:sz w:val="22"/>
                <w:szCs w:val="22"/>
              </w:rPr>
              <w:t>Explain the chapter learning objectives to the studen</w:t>
            </w:r>
            <w:r>
              <w:rPr>
                <w:rFonts w:ascii="Calibri" w:hAnsi="Calibri" w:cs="Calibri"/>
                <w:sz w:val="22"/>
                <w:szCs w:val="22"/>
              </w:rPr>
              <w:t xml:space="preserve">ts.  </w:t>
            </w:r>
          </w:p>
          <w:p w:rsidR="00000000" w:rsidRDefault="003C2130">
            <w:pPr>
              <w:pStyle w:val="NumList"/>
              <w:rPr>
                <w:rFonts w:ascii="Calibri" w:hAnsi="Calibri" w:cs="Calibri"/>
              </w:rPr>
            </w:pPr>
            <w:r>
              <w:rPr>
                <w:rFonts w:ascii="Calibri" w:hAnsi="Calibri" w:cs="Calibri"/>
              </w:rPr>
              <w:t>1.  Identify a vehicle.</w:t>
            </w:r>
          </w:p>
          <w:p w:rsidR="00000000" w:rsidRDefault="003C2130">
            <w:pPr>
              <w:pStyle w:val="NumList"/>
              <w:rPr>
                <w:rFonts w:ascii="Calibri" w:hAnsi="Calibri" w:cs="Calibri"/>
              </w:rPr>
            </w:pPr>
            <w:r>
              <w:rPr>
                <w:rFonts w:ascii="Calibri" w:hAnsi="Calibri" w:cs="Calibri"/>
              </w:rPr>
              <w:t>2.  Interpret vehicle identification numbers and placard information.</w:t>
            </w:r>
          </w:p>
          <w:p w:rsidR="00000000" w:rsidRDefault="003C2130">
            <w:pPr>
              <w:pStyle w:val="NumList"/>
              <w:rPr>
                <w:rFonts w:ascii="Calibri" w:hAnsi="Calibri" w:cs="Calibri"/>
              </w:rPr>
            </w:pPr>
            <w:r>
              <w:rPr>
                <w:rFonts w:ascii="Calibri" w:hAnsi="Calibri" w:cs="Calibri"/>
              </w:rPr>
              <w:t>3.  Interpret vehicle emissions and emission control information.</w:t>
            </w:r>
          </w:p>
          <w:p w:rsidR="00000000" w:rsidRDefault="003C2130">
            <w:pPr>
              <w:pStyle w:val="NumList"/>
              <w:rPr>
                <w:rFonts w:ascii="Calibri" w:hAnsi="Calibri" w:cs="Calibri"/>
              </w:rPr>
            </w:pPr>
            <w:r>
              <w:rPr>
                <w:rFonts w:ascii="Calibri" w:hAnsi="Calibri" w:cs="Calibri"/>
              </w:rPr>
              <w:t>4.  Read and interpret casting numbers.</w:t>
            </w:r>
          </w:p>
          <w:p w:rsidR="00000000" w:rsidRDefault="003C2130">
            <w:pPr>
              <w:pStyle w:val="NumList"/>
            </w:pPr>
            <w:r>
              <w:rPr>
                <w:rFonts w:ascii="Calibri" w:hAnsi="Calibri" w:cs="Calibri"/>
              </w:rPr>
              <w:t>5.  Locate calibration codes.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 xml:space="preserve">Establish the Mood </w:t>
            </w:r>
            <w:r>
              <w:rPr>
                <w:rFonts w:ascii="Calibri" w:hAnsi="Calibri" w:cs="Calibri"/>
                <w:b/>
                <w:sz w:val="22"/>
                <w:szCs w:val="22"/>
              </w:rPr>
              <w:t>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3C2130">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C2130">
            <w:pPr>
              <w:pStyle w:val="NormalTable"/>
            </w:pPr>
            <w:r>
              <w:rPr>
                <w:rFonts w:ascii="Calibri" w:hAnsi="Calibri" w:cs="Calibri"/>
                <w:sz w:val="22"/>
                <w:szCs w:val="22"/>
              </w:rPr>
              <w:t xml:space="preserve">Do a round robin of the class by going around the room and having each student give their </w:t>
            </w:r>
            <w:r>
              <w:rPr>
                <w:rFonts w:ascii="Calibri" w:hAnsi="Calibri" w:cs="Calibri"/>
                <w:sz w:val="22"/>
                <w:szCs w:val="22"/>
              </w:rPr>
              <w:t>backgrounds, years of experience, family, hobbies, career goals, or anything they want to share.</w:t>
            </w:r>
          </w:p>
        </w:tc>
      </w:tr>
    </w:tbl>
    <w:p w:rsidR="00000000" w:rsidRDefault="003C2130">
      <w:pPr>
        <w:pStyle w:val="Heading1"/>
      </w:pPr>
    </w:p>
    <w:p w:rsidR="00000000" w:rsidRDefault="003C2130"/>
    <w:p w:rsidR="00000000" w:rsidRDefault="003C2130">
      <w:pPr>
        <w:pageBreakBefore/>
      </w:pPr>
    </w:p>
    <w:tbl>
      <w:tblPr>
        <w:tblW w:w="0" w:type="auto"/>
        <w:tblInd w:w="108" w:type="dxa"/>
        <w:tblLayout w:type="fixed"/>
        <w:tblLook w:val="0000" w:firstRow="0" w:lastRow="0" w:firstColumn="0" w:lastColumn="0" w:noHBand="0" w:noVBand="0"/>
      </w:tblPr>
      <w:tblGrid>
        <w:gridCol w:w="2880"/>
        <w:gridCol w:w="6490"/>
      </w:tblGrid>
      <w:tr w:rsidR="00000000">
        <w:trPr>
          <w:tblHeader/>
        </w:trPr>
        <w:tc>
          <w:tcPr>
            <w:tcW w:w="2880" w:type="dxa"/>
            <w:tcBorders>
              <w:left w:val="single" w:sz="4" w:space="0" w:color="000000"/>
              <w:bottom w:val="single" w:sz="20" w:space="0" w:color="0000FF"/>
            </w:tcBorders>
            <w:shd w:val="clear" w:color="auto" w:fill="FFFF00"/>
          </w:tcPr>
          <w:p w:rsidR="00000000" w:rsidRDefault="003C2130">
            <w:pPr>
              <w:pStyle w:val="NoSpacing"/>
              <w:jc w:val="center"/>
              <w:rPr>
                <w:rFonts w:ascii="Tahoma" w:hAnsi="Tahoma" w:cs="Tahoma"/>
                <w:b/>
                <w:color w:val="0000FF"/>
              </w:rPr>
            </w:pPr>
            <w:r>
              <w:rPr>
                <w:rFonts w:ascii="Arial Black" w:hAnsi="Arial Black" w:cs="Tahoma"/>
                <w:b/>
                <w:color w:val="0000FF"/>
                <w:sz w:val="28"/>
                <w:szCs w:val="28"/>
                <w:lang w:val="en-US"/>
              </w:rPr>
              <w:t>ICONS</w:t>
            </w:r>
          </w:p>
        </w:tc>
        <w:tc>
          <w:tcPr>
            <w:tcW w:w="6490" w:type="dxa"/>
            <w:tcBorders>
              <w:left w:val="single" w:sz="4" w:space="0" w:color="000000"/>
              <w:bottom w:val="single" w:sz="20" w:space="0" w:color="0000FF"/>
              <w:right w:val="single" w:sz="4" w:space="0" w:color="000000"/>
            </w:tcBorders>
            <w:shd w:val="clear" w:color="auto" w:fill="FFFF00"/>
          </w:tcPr>
          <w:p w:rsidR="00000000" w:rsidRDefault="003C2130">
            <w:pPr>
              <w:spacing w:before="120"/>
            </w:pPr>
            <w:r>
              <w:rPr>
                <w:rFonts w:ascii="Tahoma" w:hAnsi="Tahoma" w:cs="Tahoma"/>
                <w:b/>
                <w:color w:val="0000FF"/>
              </w:rPr>
              <w:t>Chapter 13 Vehicle Identification &amp; Emission Rating</w:t>
            </w:r>
          </w:p>
        </w:tc>
      </w:tr>
      <w:tr w:rsidR="00000000">
        <w:tc>
          <w:tcPr>
            <w:tcW w:w="2880" w:type="dxa"/>
            <w:tcBorders>
              <w:left w:val="single" w:sz="4" w:space="0" w:color="000000"/>
            </w:tcBorders>
            <w:shd w:val="clear" w:color="auto" w:fill="auto"/>
          </w:tcPr>
          <w:p w:rsidR="00000000" w:rsidRDefault="000F3258">
            <w:pPr>
              <w:pStyle w:val="NoSpacing"/>
              <w:rPr>
                <w:color w:val="FF950E"/>
                <w:sz w:val="22"/>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HEADER"/>
              <w:rPr>
                <w:b/>
                <w:bCs/>
                <w:color w:val="FF950E"/>
              </w:rPr>
            </w:pPr>
            <w:r>
              <w:rPr>
                <w:color w:val="FF950E"/>
                <w:sz w:val="22"/>
              </w:rPr>
              <w:t>1. SLIDE 1 TITLE: VEHICLE IDENTIFICATION &amp; EMISSION RATINGS</w:t>
            </w:r>
          </w:p>
          <w:p w:rsidR="00000000" w:rsidRDefault="003C2130">
            <w:pPr>
              <w:pStyle w:val="SLIDE2"/>
            </w:pPr>
            <w:r>
              <w:rPr>
                <w:b/>
                <w:bCs/>
                <w:color w:val="FF950E"/>
              </w:rPr>
              <w:t xml:space="preserve"> </w:t>
            </w:r>
          </w:p>
        </w:tc>
      </w:tr>
      <w:tr w:rsidR="00000000">
        <w:tc>
          <w:tcPr>
            <w:tcW w:w="2880" w:type="dxa"/>
            <w:tcBorders>
              <w:left w:val="single" w:sz="4" w:space="0" w:color="000000"/>
            </w:tcBorders>
            <w:shd w:val="clear" w:color="auto" w:fill="auto"/>
          </w:tcPr>
          <w:p w:rsidR="00000000" w:rsidRDefault="000F3258">
            <w:pPr>
              <w:pStyle w:val="NoSpacing"/>
              <w:rPr>
                <w:rFonts w:ascii="Tahoma" w:hAnsi="Tahoma" w:cs="Tahoma"/>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1"/>
              <w:rPr>
                <w:rFonts w:ascii="Tahoma" w:hAnsi="Tahoma" w:cs="Tahoma"/>
                <w:bCs w:val="0"/>
                <w:color w:val="008000"/>
              </w:rPr>
            </w:pPr>
            <w:r>
              <w:rPr>
                <w:rFonts w:ascii="Tahoma" w:hAnsi="Tahoma" w:cs="Tahoma"/>
                <w:bCs w:val="0"/>
                <w:color w:val="008000"/>
              </w:rPr>
              <w:t xml:space="preserve">Check for ADDITIONAL VIDEOS </w:t>
            </w:r>
            <w:r>
              <w:rPr>
                <w:rFonts w:ascii="Tahoma" w:hAnsi="Tahoma" w:cs="Tahoma"/>
                <w:bCs w:val="0"/>
                <w:color w:val="008000"/>
              </w:rPr>
              <w:t xml:space="preserve">&amp; ANIMATIONS @ </w:t>
            </w:r>
            <w:hyperlink r:id="rId8" w:history="1">
              <w:r>
                <w:rPr>
                  <w:rStyle w:val="Hyperlink"/>
                  <w:rFonts w:ascii="Tahoma" w:hAnsi="Tahoma" w:cs="Tahoma"/>
                  <w:color w:val="008000"/>
                </w:rPr>
                <w:t>http://www.jameshalderman.com/</w:t>
              </w:r>
            </w:hyperlink>
            <w:r>
              <w:rPr>
                <w:rFonts w:ascii="Tahoma" w:hAnsi="Tahoma" w:cs="Tahoma"/>
                <w:bCs w:val="0"/>
                <w:color w:val="008000"/>
              </w:rPr>
              <w:t xml:space="preserve"> </w:t>
            </w:r>
          </w:p>
          <w:p w:rsidR="00000000" w:rsidRDefault="003C2130">
            <w:pPr>
              <w:pStyle w:val="SLIDE1"/>
            </w:pPr>
            <w:r>
              <w:rPr>
                <w:rFonts w:ascii="Tahoma" w:hAnsi="Tahoma" w:cs="Tahoma"/>
                <w:bCs w:val="0"/>
                <w:color w:val="008000"/>
              </w:rPr>
              <w:t>WEB SITE REGULARLY UPDATED</w:t>
            </w: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pPr>
            <w:r>
              <w:rPr>
                <w:b/>
                <w:bCs/>
                <w:color w:val="FF950E"/>
              </w:rPr>
              <w:t xml:space="preserve">2. SLIDE 2 </w:t>
            </w:r>
            <w:r>
              <w:rPr>
                <w:b/>
                <w:bCs/>
                <w:color w:val="FF950E"/>
              </w:rPr>
              <w:t>READ &amp; EXPLAIN</w:t>
            </w:r>
            <w:r>
              <w:rPr>
                <w:b/>
                <w:bCs/>
                <w:color w:val="FF950E"/>
              </w:rPr>
              <w:t xml:space="preserve"> Parts of a Vehicle  </w:t>
            </w:r>
          </w:p>
        </w:tc>
      </w:tr>
      <w:tr w:rsidR="00000000">
        <w:tc>
          <w:tcPr>
            <w:tcW w:w="2880" w:type="dxa"/>
            <w:tcBorders>
              <w:left w:val="single" w:sz="4" w:space="0" w:color="000000"/>
            </w:tcBorders>
            <w:shd w:val="clear" w:color="auto" w:fill="auto"/>
          </w:tcPr>
          <w:p w:rsidR="00000000" w:rsidRDefault="000F3258">
            <w:pPr>
              <w:pStyle w:val="NoSpacing"/>
              <w:rPr>
                <w:color w:val="008000"/>
                <w:sz w:val="28"/>
                <w:szCs w:val="28"/>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008000"/>
                <w:sz w:val="28"/>
                <w:szCs w:val="28"/>
                <w:u w:val="single"/>
              </w:rPr>
              <w:t xml:space="preserve">DISCUSSION: </w:t>
            </w:r>
            <w:r>
              <w:rPr>
                <w:color w:val="008000"/>
              </w:rPr>
              <w:t>Have students talk about why, for automotive servicing &amp; and repair pu</w:t>
            </w:r>
            <w:r>
              <w:rPr>
                <w:color w:val="008000"/>
              </w:rPr>
              <w:t>rposes, parts of a vehicle are identified in terms of left &amp; right side or front and rear rather than by driver or passenger side.</w:t>
            </w:r>
          </w:p>
        </w:tc>
      </w:tr>
      <w:tr w:rsidR="00000000">
        <w:tc>
          <w:tcPr>
            <w:tcW w:w="2880" w:type="dxa"/>
            <w:tcBorders>
              <w:left w:val="single" w:sz="4" w:space="0" w:color="000000"/>
            </w:tcBorders>
            <w:shd w:val="clear" w:color="auto" w:fill="auto"/>
          </w:tcPr>
          <w:p w:rsidR="00000000" w:rsidRDefault="000F3258">
            <w:pPr>
              <w:pStyle w:val="NoSpacing"/>
              <w:rPr>
                <w:rFonts w:cs="Tahoma"/>
                <w:color w:val="FF950E"/>
                <w:sz w:val="28"/>
                <w:szCs w:val="28"/>
                <w:u w:val="single"/>
              </w:rPr>
            </w:pPr>
            <w:r>
              <w:rPr>
                <w:noProof/>
              </w:rPr>
              <w:drawing>
                <wp:inline distT="0" distB="0" distL="0" distR="0">
                  <wp:extent cx="849630"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sz w:val="28"/>
                <w:szCs w:val="28"/>
                <w:u w:val="single"/>
              </w:rPr>
              <w:t xml:space="preserve">ON-VEHICLE TASK: </w:t>
            </w:r>
            <w:r>
              <w:rPr>
                <w:color w:val="FF950E"/>
              </w:rPr>
              <w:t>Have students use masking tape to label the left and right parts of a car or truck</w:t>
            </w:r>
          </w:p>
        </w:tc>
      </w:tr>
      <w:tr w:rsidR="00000000">
        <w:tc>
          <w:tcPr>
            <w:tcW w:w="2880" w:type="dxa"/>
            <w:tcBorders>
              <w:left w:val="single" w:sz="4" w:space="0" w:color="000000"/>
            </w:tcBorders>
            <w:shd w:val="clear" w:color="auto" w:fill="auto"/>
          </w:tcPr>
          <w:p w:rsidR="00000000" w:rsidRDefault="000F3258">
            <w:pPr>
              <w:pStyle w:val="NoSpacing"/>
              <w:rPr>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1"/>
            </w:pPr>
            <w:r>
              <w:rPr>
                <w:color w:val="FF950E"/>
              </w:rPr>
              <w:t xml:space="preserve">3.  SLIDE 3 READ &amp; </w:t>
            </w:r>
            <w:r>
              <w:rPr>
                <w:color w:val="FF950E"/>
              </w:rPr>
              <w:t xml:space="preserve">EXPLAIN Front-Wheel Drive Versus Rear-Wheel Drive  </w:t>
            </w:r>
          </w:p>
        </w:tc>
      </w:tr>
      <w:tr w:rsidR="00000000">
        <w:tc>
          <w:tcPr>
            <w:tcW w:w="2880" w:type="dxa"/>
            <w:tcBorders>
              <w:left w:val="single" w:sz="4" w:space="0" w:color="000000"/>
            </w:tcBorders>
            <w:shd w:val="clear" w:color="auto" w:fill="auto"/>
          </w:tcPr>
          <w:p w:rsidR="00000000" w:rsidRDefault="000F3258">
            <w:pPr>
              <w:pStyle w:val="NoSpacing"/>
              <w:rPr>
                <w:color w:val="0084D1"/>
                <w:sz w:val="28"/>
                <w:szCs w:val="28"/>
              </w:rPr>
            </w:pPr>
            <w:r>
              <w:rPr>
                <w:noProof/>
              </w:rPr>
              <w:drawing>
                <wp:inline distT="0" distB="0" distL="0" distR="0">
                  <wp:extent cx="777875" cy="76327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InstructorNoteText"/>
            </w:pPr>
            <w:r>
              <w:rPr>
                <w:color w:val="0084D1"/>
                <w:sz w:val="28"/>
                <w:szCs w:val="28"/>
              </w:rPr>
              <w:t xml:space="preserve">It is common to use acronyms: FWD for Front Wheel Drive, RWD for Rear Wheel Drive, 4WD for Four-Wheel Drive, &amp; AWD for All Wheel Drive.  </w:t>
            </w:r>
          </w:p>
        </w:tc>
      </w:tr>
      <w:tr w:rsidR="00000000">
        <w:tc>
          <w:tcPr>
            <w:tcW w:w="2880" w:type="dxa"/>
            <w:tcBorders>
              <w:left w:val="single" w:sz="4" w:space="0" w:color="000000"/>
            </w:tcBorders>
            <w:shd w:val="clear" w:color="auto" w:fill="auto"/>
          </w:tcPr>
          <w:p w:rsidR="00000000" w:rsidRDefault="000F3258">
            <w:pPr>
              <w:pStyle w:val="NoSpacing"/>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008000"/>
                <w:sz w:val="28"/>
                <w:szCs w:val="28"/>
                <w:u w:val="single"/>
              </w:rPr>
              <w:t xml:space="preserve">DISCUSSION: </w:t>
            </w:r>
            <w:r>
              <w:rPr>
                <w:rFonts w:eastAsia="MS Mincho"/>
                <w:color w:val="008000"/>
              </w:rPr>
              <w:t>Ask students to discuss differences between fron</w:t>
            </w:r>
            <w:r>
              <w:rPr>
                <w:rFonts w:eastAsia="MS Mincho"/>
                <w:color w:val="008000"/>
              </w:rPr>
              <w:t>t-wheel, rear-wheel, all-wheel, and four wheel drive systems. What are advantages &amp; disadvantages of each?   Students will prepare a chart showing the differences in the below on-vehicle task.</w:t>
            </w:r>
          </w:p>
        </w:tc>
      </w:tr>
      <w:tr w:rsidR="00000000">
        <w:tc>
          <w:tcPr>
            <w:tcW w:w="2880" w:type="dxa"/>
            <w:tcBorders>
              <w:left w:val="single" w:sz="4" w:space="0" w:color="000000"/>
            </w:tcBorders>
            <w:shd w:val="clear" w:color="auto" w:fill="auto"/>
          </w:tcPr>
          <w:p w:rsidR="00000000" w:rsidRDefault="000F3258">
            <w:pPr>
              <w:pStyle w:val="NoSpacing"/>
              <w:rPr>
                <w:rFonts w:cs="Tahoma"/>
                <w:color w:val="FF950E"/>
                <w:sz w:val="28"/>
                <w:szCs w:val="28"/>
                <w:u w:val="single"/>
              </w:rPr>
            </w:pPr>
            <w:r>
              <w:rPr>
                <w:noProof/>
              </w:rPr>
              <w:drawing>
                <wp:inline distT="0" distB="0" distL="0" distR="0">
                  <wp:extent cx="849630"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sz w:val="28"/>
                <w:szCs w:val="28"/>
                <w:u w:val="single"/>
              </w:rPr>
              <w:t xml:space="preserve">ON-VEHICLE TASK: </w:t>
            </w:r>
            <w:r>
              <w:rPr>
                <w:color w:val="FF950E"/>
              </w:rPr>
              <w:t>Have students do a chart in class on differ</w:t>
            </w:r>
            <w:r>
              <w:rPr>
                <w:color w:val="FF950E"/>
              </w:rPr>
              <w:t>ences between drive systems</w:t>
            </w:r>
          </w:p>
        </w:tc>
      </w:tr>
      <w:tr w:rsidR="00000000">
        <w:tc>
          <w:tcPr>
            <w:tcW w:w="2880" w:type="dxa"/>
            <w:tcBorders>
              <w:left w:val="single" w:sz="4" w:space="0" w:color="000000"/>
            </w:tcBorders>
            <w:shd w:val="clear" w:color="auto" w:fill="auto"/>
          </w:tcPr>
          <w:p w:rsidR="00000000" w:rsidRDefault="000F3258">
            <w:pPr>
              <w:pStyle w:val="CurrAsset"/>
              <w:rPr>
                <w:color w:val="0084D1"/>
                <w:u w:val="single"/>
                <w:lang w:val="en-US"/>
              </w:rPr>
            </w:pPr>
            <w:r>
              <w:rPr>
                <w:noProof/>
              </w:rPr>
              <w:lastRenderedPageBreak/>
              <w:drawing>
                <wp:inline distT="0" distB="0" distL="0" distR="0">
                  <wp:extent cx="777875" cy="76327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0084D1"/>
                <w:u w:val="single"/>
                <w:lang w:val="en-US"/>
              </w:rPr>
              <w:t>TIME-CHECK:</w:t>
            </w:r>
            <w:r>
              <w:rPr>
                <w:color w:val="0084D1"/>
                <w:lang w:val="en-US"/>
              </w:rPr>
              <w:t xml:space="preserve"> </w:t>
            </w:r>
            <w:r>
              <w:rPr>
                <w:color w:val="0084D1"/>
                <w:lang w:val="en-US"/>
              </w:rPr>
              <w:t>NOTE on Time Check: Depending on time, You may want to move to next hour’s text or continue on with instruction</w:t>
            </w: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rPr>
                <w:color w:val="FF950E"/>
              </w:rPr>
            </w:pPr>
            <w:r>
              <w:rPr>
                <w:b/>
                <w:bCs/>
                <w:color w:val="FF950E"/>
              </w:rPr>
              <w:t xml:space="preserve">4. SLIDE 4 </w:t>
            </w:r>
            <w:r>
              <w:rPr>
                <w:b/>
                <w:bCs/>
                <w:color w:val="FF950E"/>
              </w:rPr>
              <w:t>READ &amp; EXPLAIN</w:t>
            </w:r>
            <w:r>
              <w:rPr>
                <w:b/>
                <w:bCs/>
                <w:color w:val="FF950E"/>
              </w:rPr>
              <w:t xml:space="preserve"> Vehicle Identification</w:t>
            </w:r>
          </w:p>
          <w:p w:rsidR="00000000" w:rsidRDefault="003C2130">
            <w:pPr>
              <w:pStyle w:val="SLIDE1"/>
              <w:rPr>
                <w:color w:val="FF950E"/>
              </w:rPr>
            </w:pPr>
            <w:r>
              <w:rPr>
                <w:color w:val="FF950E"/>
              </w:rPr>
              <w:t xml:space="preserve">5. SLIDE 5 EXPLAIN FIGURE 13-1 </w:t>
            </w:r>
            <w:r>
              <w:rPr>
                <w:b w:val="0"/>
                <w:color w:val="FF950E"/>
              </w:rPr>
              <w:t>Typical vehicle id</w:t>
            </w:r>
            <w:r>
              <w:rPr>
                <w:b w:val="0"/>
                <w:color w:val="FF950E"/>
              </w:rPr>
              <w:t>entification number (VIN) as viewed through the windshield.</w:t>
            </w:r>
          </w:p>
          <w:p w:rsidR="00000000" w:rsidRDefault="003C2130">
            <w:pPr>
              <w:pStyle w:val="SLIDE1"/>
              <w:rPr>
                <w:color w:val="FF950E"/>
              </w:rPr>
            </w:pPr>
            <w:r>
              <w:rPr>
                <w:color w:val="FF950E"/>
              </w:rPr>
              <w:t xml:space="preserve">6. SLIDE 6 READ &amp; EXPLAIN Chart 13-1 </w:t>
            </w:r>
          </w:p>
          <w:p w:rsidR="00000000" w:rsidRDefault="003C2130">
            <w:pPr>
              <w:pStyle w:val="SLIDE1"/>
            </w:pPr>
            <w:r>
              <w:rPr>
                <w:color w:val="FF950E"/>
              </w:rPr>
              <w:t xml:space="preserve">7. SLIDE 7 READ &amp; EXPLAIN Chart 13-2 (The Pattern Repeats Every 30 Years)     </w:t>
            </w:r>
          </w:p>
        </w:tc>
      </w:tr>
      <w:tr w:rsidR="00000000">
        <w:tc>
          <w:tcPr>
            <w:tcW w:w="2880" w:type="dxa"/>
            <w:tcBorders>
              <w:left w:val="single" w:sz="4" w:space="0" w:color="000000"/>
            </w:tcBorders>
            <w:shd w:val="clear" w:color="auto" w:fill="auto"/>
          </w:tcPr>
          <w:p w:rsidR="00000000" w:rsidRDefault="000F3258">
            <w:pPr>
              <w:pStyle w:val="NoSpacing"/>
              <w:rPr>
                <w:color w:val="C5000B"/>
                <w:u w:val="single"/>
              </w:rPr>
            </w:pPr>
            <w:r>
              <w:rPr>
                <w:noProof/>
              </w:rPr>
              <w:drawing>
                <wp:inline distT="0" distB="0" distL="0" distR="0">
                  <wp:extent cx="691515"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C5000B"/>
                <w:u w:val="single"/>
              </w:rPr>
              <w:t>DEMONSTRATION: Show</w:t>
            </w:r>
            <w:r>
              <w:rPr>
                <w:color w:val="C5000B"/>
              </w:rPr>
              <w:t xml:space="preserve"> students an example of a vehicle identification number (</w:t>
            </w:r>
            <w:r>
              <w:rPr>
                <w:color w:val="C5000B"/>
              </w:rPr>
              <w:t xml:space="preserve">VIN) and have students decipher its meaning based on information provided on page 126 of ATE4 Chapter 16  </w:t>
            </w:r>
          </w:p>
        </w:tc>
      </w:tr>
      <w:tr w:rsidR="00000000">
        <w:tc>
          <w:tcPr>
            <w:tcW w:w="2880" w:type="dxa"/>
            <w:tcBorders>
              <w:left w:val="single" w:sz="4" w:space="0" w:color="000000"/>
            </w:tcBorders>
            <w:shd w:val="clear" w:color="auto" w:fill="auto"/>
          </w:tcPr>
          <w:p w:rsidR="00000000" w:rsidRDefault="000F3258">
            <w:pPr>
              <w:pStyle w:val="NoSpacing"/>
              <w:rPr>
                <w:color w:val="0084D1"/>
                <w:sz w:val="28"/>
                <w:szCs w:val="28"/>
              </w:rPr>
            </w:pPr>
            <w:r>
              <w:rPr>
                <w:noProof/>
              </w:rPr>
              <w:drawing>
                <wp:inline distT="0" distB="0" distL="0" distR="0">
                  <wp:extent cx="777875" cy="76327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InstructorNoteText"/>
            </w:pPr>
            <w:r>
              <w:rPr>
                <w:color w:val="0084D1"/>
                <w:sz w:val="28"/>
                <w:szCs w:val="28"/>
              </w:rPr>
              <w:t>Before 1980, there was no universally accepted equivalent to a VIN, so OEMs used their own formats</w:t>
            </w:r>
            <w:r>
              <w:rPr>
                <w:color w:val="0084D1"/>
              </w:rPr>
              <w:t>.</w:t>
            </w:r>
          </w:p>
        </w:tc>
      </w:tr>
      <w:tr w:rsidR="00000000">
        <w:tc>
          <w:tcPr>
            <w:tcW w:w="2880" w:type="dxa"/>
            <w:tcBorders>
              <w:left w:val="single" w:sz="4" w:space="0" w:color="000000"/>
            </w:tcBorders>
            <w:shd w:val="clear" w:color="auto" w:fill="auto"/>
          </w:tcPr>
          <w:p w:rsidR="00000000" w:rsidRDefault="000F3258">
            <w:pPr>
              <w:pStyle w:val="NoSpacing"/>
              <w:rPr>
                <w:color w:val="FF950E"/>
              </w:rPr>
            </w:pPr>
            <w:r>
              <w:rPr>
                <w:noProof/>
              </w:rPr>
              <w:drawing>
                <wp:inline distT="0" distB="0" distL="0" distR="0">
                  <wp:extent cx="849630"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rPr>
              <w:t>Have students complete VIN Task Sheet.</w:t>
            </w:r>
            <w:r>
              <w:rPr>
                <w:color w:val="FF950E"/>
                <w:u w:val="single"/>
              </w:rPr>
              <w:t xml:space="preserve"> </w:t>
            </w:r>
            <w:r>
              <w:rPr>
                <w:color w:val="FF950E"/>
              </w:rPr>
              <w:t>Stud</w:t>
            </w:r>
            <w:r>
              <w:rPr>
                <w:color w:val="FF950E"/>
              </w:rPr>
              <w:t>ents decipher VIN on a LAB or personal vehicle</w:t>
            </w:r>
          </w:p>
        </w:tc>
      </w:tr>
      <w:tr w:rsidR="00000000">
        <w:tc>
          <w:tcPr>
            <w:tcW w:w="2880" w:type="dxa"/>
            <w:tcBorders>
              <w:left w:val="single" w:sz="4" w:space="0" w:color="000000"/>
            </w:tcBorders>
            <w:shd w:val="clear" w:color="auto" w:fill="auto"/>
          </w:tcPr>
          <w:p w:rsidR="00000000" w:rsidRDefault="000F3258">
            <w:pPr>
              <w:pStyle w:val="NoSpacing"/>
              <w:rPr>
                <w:color w:val="FF950E"/>
                <w:sz w:val="28"/>
                <w:szCs w:val="28"/>
                <w:u w:val="single"/>
              </w:rPr>
            </w:pPr>
            <w:r>
              <w:rPr>
                <w:noProof/>
              </w:rPr>
              <w:drawing>
                <wp:inline distT="0" distB="0" distL="0" distR="0">
                  <wp:extent cx="849630"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Pr>
                <w:noProof/>
              </w:rPr>
              <w:drawing>
                <wp:inline distT="0" distB="0" distL="0" distR="0">
                  <wp:extent cx="619125" cy="6337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sz w:val="28"/>
                <w:szCs w:val="28"/>
                <w:u w:val="single"/>
              </w:rPr>
              <w:t xml:space="preserve">HOMEWORK: </w:t>
            </w:r>
            <w:r>
              <w:rPr>
                <w:color w:val="FF950E"/>
              </w:rPr>
              <w:t>Have students research the history of VIN.  using competing standards for vehicle identification before 1980 and why VIN standard became necessary.</w:t>
            </w:r>
          </w:p>
        </w:tc>
      </w:tr>
      <w:tr w:rsidR="00000000">
        <w:tc>
          <w:tcPr>
            <w:tcW w:w="2880" w:type="dxa"/>
            <w:tcBorders>
              <w:left w:val="single" w:sz="4" w:space="0" w:color="000000"/>
            </w:tcBorders>
            <w:shd w:val="clear" w:color="auto" w:fill="auto"/>
          </w:tcPr>
          <w:p w:rsidR="00000000" w:rsidRDefault="000F3258">
            <w:pPr>
              <w:pStyle w:val="NoSpacing"/>
              <w:rPr>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1"/>
            </w:pPr>
            <w:r>
              <w:rPr>
                <w:color w:val="FF950E"/>
              </w:rPr>
              <w:t>8.  SLIDE 8 READ &amp; EXPLAIN Vehicle Safety Ce</w:t>
            </w:r>
            <w:r>
              <w:rPr>
                <w:color w:val="FF950E"/>
              </w:rPr>
              <w:t>rtification Label (VSCL Label)</w:t>
            </w:r>
          </w:p>
        </w:tc>
      </w:tr>
      <w:tr w:rsidR="00000000">
        <w:tc>
          <w:tcPr>
            <w:tcW w:w="2880" w:type="dxa"/>
            <w:tcBorders>
              <w:left w:val="single" w:sz="4" w:space="0" w:color="000000"/>
            </w:tcBorders>
            <w:shd w:val="clear" w:color="auto" w:fill="auto"/>
          </w:tcPr>
          <w:p w:rsidR="00000000" w:rsidRDefault="000F3258">
            <w:pPr>
              <w:pStyle w:val="NoSpacing"/>
              <w:rPr>
                <w:color w:val="C5000B"/>
                <w:sz w:val="28"/>
                <w:szCs w:val="28"/>
                <w:u w:val="single"/>
              </w:rPr>
            </w:pPr>
            <w:r>
              <w:rPr>
                <w:noProof/>
              </w:rPr>
              <w:drawing>
                <wp:inline distT="0" distB="0" distL="0" distR="0">
                  <wp:extent cx="691515"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C5000B"/>
                <w:sz w:val="28"/>
                <w:szCs w:val="28"/>
                <w:u w:val="single"/>
              </w:rPr>
              <w:t>DEMONSTRATE:</w:t>
            </w:r>
            <w:r>
              <w:rPr>
                <w:color w:val="C5000B"/>
              </w:rPr>
              <w:t xml:space="preserve"> example of vehicle safety certification label. Ask them to decipher information provided on label and explain what it signifies.</w:t>
            </w: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rPr>
                <w:b/>
                <w:bCs/>
                <w:color w:val="FF950E"/>
              </w:rPr>
            </w:pPr>
            <w:r>
              <w:rPr>
                <w:b/>
                <w:bCs/>
                <w:color w:val="FF950E"/>
              </w:rPr>
              <w:t xml:space="preserve">9. SLIDE 9 </w:t>
            </w:r>
            <w:r>
              <w:rPr>
                <w:b/>
                <w:bCs/>
                <w:color w:val="FF950E"/>
              </w:rPr>
              <w:t xml:space="preserve">READ &amp; EXPLAIN </w:t>
            </w:r>
            <w:r>
              <w:rPr>
                <w:b/>
                <w:bCs/>
                <w:color w:val="FF950E"/>
              </w:rPr>
              <w:t>VECI Label</w:t>
            </w:r>
          </w:p>
          <w:p w:rsidR="00000000" w:rsidRDefault="003C2130">
            <w:pPr>
              <w:pStyle w:val="SLIDE2"/>
            </w:pPr>
            <w:r>
              <w:rPr>
                <w:b/>
                <w:bCs/>
                <w:color w:val="FF950E"/>
              </w:rPr>
              <w:t>10.  SLIDE 10 EXPLAIN Figure 13-2 VECI l</w:t>
            </w:r>
            <w:r>
              <w:rPr>
                <w:b/>
                <w:bCs/>
                <w:color w:val="FF950E"/>
              </w:rPr>
              <w:t>abel on a 2008 Ford</w:t>
            </w:r>
          </w:p>
        </w:tc>
      </w:tr>
      <w:tr w:rsidR="00000000">
        <w:tc>
          <w:tcPr>
            <w:tcW w:w="2880" w:type="dxa"/>
            <w:tcBorders>
              <w:left w:val="single" w:sz="4" w:space="0" w:color="000000"/>
            </w:tcBorders>
            <w:shd w:val="clear" w:color="auto" w:fill="auto"/>
          </w:tcPr>
          <w:p w:rsidR="00000000" w:rsidRDefault="000F3258">
            <w:pPr>
              <w:pStyle w:val="NoSpacing"/>
              <w:rPr>
                <w:color w:val="C5000B"/>
                <w:sz w:val="28"/>
                <w:szCs w:val="28"/>
                <w:u w:val="single"/>
              </w:rPr>
            </w:pPr>
            <w:r>
              <w:rPr>
                <w:noProof/>
              </w:rPr>
              <w:lastRenderedPageBreak/>
              <w:drawing>
                <wp:inline distT="0" distB="0" distL="0" distR="0">
                  <wp:extent cx="691515"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rPr>
                <w:bCs/>
                <w:color w:val="FF950E"/>
              </w:rPr>
            </w:pPr>
            <w:r>
              <w:rPr>
                <w:color w:val="C5000B"/>
                <w:sz w:val="28"/>
                <w:szCs w:val="28"/>
                <w:u w:val="single"/>
              </w:rPr>
              <w:t xml:space="preserve">DEMONSTRATE: </w:t>
            </w:r>
            <w:r>
              <w:rPr>
                <w:color w:val="C5000B"/>
              </w:rPr>
              <w:t>location of vehicle emissions control information (VECI) label under hood of vehicle</w:t>
            </w:r>
          </w:p>
          <w:p w:rsidR="00000000" w:rsidRDefault="003C2130">
            <w:pPr>
              <w:pStyle w:val="CurrAsset"/>
              <w:rPr>
                <w:bCs/>
                <w:color w:val="FF950E"/>
              </w:rPr>
            </w:pPr>
          </w:p>
        </w:tc>
      </w:tr>
      <w:tr w:rsidR="00000000">
        <w:tc>
          <w:tcPr>
            <w:tcW w:w="2880" w:type="dxa"/>
            <w:tcBorders>
              <w:left w:val="single" w:sz="4" w:space="0" w:color="000000"/>
            </w:tcBorders>
            <w:shd w:val="clear" w:color="auto" w:fill="auto"/>
          </w:tcPr>
          <w:p w:rsidR="00000000" w:rsidRDefault="000F3258">
            <w:pPr>
              <w:pStyle w:val="NoSpacing"/>
              <w:rPr>
                <w:rFonts w:cs="Tahoma"/>
                <w:bCs/>
                <w:color w:val="008000"/>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bCs/>
                <w:color w:val="008000"/>
              </w:rPr>
              <w:t xml:space="preserve">Ask students to </w:t>
            </w:r>
            <w:r>
              <w:rPr>
                <w:bCs/>
                <w:color w:val="008000"/>
                <w:u w:val="single"/>
              </w:rPr>
              <w:t>discuss</w:t>
            </w:r>
            <w:r>
              <w:rPr>
                <w:bCs/>
                <w:color w:val="008000"/>
              </w:rPr>
              <w:t xml:space="preserve"> importance of information provided on VECI label</w:t>
            </w:r>
          </w:p>
        </w:tc>
      </w:tr>
      <w:tr w:rsidR="00000000">
        <w:tc>
          <w:tcPr>
            <w:tcW w:w="2880" w:type="dxa"/>
            <w:tcBorders>
              <w:left w:val="single" w:sz="4" w:space="0" w:color="000000"/>
            </w:tcBorders>
            <w:shd w:val="clear" w:color="auto" w:fill="auto"/>
          </w:tcPr>
          <w:p w:rsidR="00000000" w:rsidRDefault="000F3258">
            <w:pPr>
              <w:pStyle w:val="NoSpacing"/>
              <w:rPr>
                <w:color w:val="FF950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r>
              <w:rPr>
                <w:noProof/>
              </w:rPr>
              <w:drawing>
                <wp:inline distT="0" distB="0" distL="0" distR="0">
                  <wp:extent cx="619125" cy="6337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rPr>
              <w:t xml:space="preserve">Have students </w:t>
            </w:r>
            <w:r>
              <w:rPr>
                <w:color w:val="FF950E"/>
                <w:u w:val="single"/>
              </w:rPr>
              <w:t>complete VECI Task Sheet</w:t>
            </w: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rPr>
                <w:b/>
                <w:bCs/>
                <w:color w:val="FF950E"/>
              </w:rPr>
            </w:pPr>
            <w:r>
              <w:rPr>
                <w:b/>
                <w:bCs/>
                <w:color w:val="FF950E"/>
              </w:rPr>
              <w:t>11.  SLIDE 1</w:t>
            </w:r>
            <w:r>
              <w:rPr>
                <w:b/>
                <w:bCs/>
                <w:color w:val="FF950E"/>
              </w:rPr>
              <w:t xml:space="preserve">1 </w:t>
            </w:r>
            <w:r>
              <w:rPr>
                <w:b/>
                <w:bCs/>
                <w:color w:val="FF950E"/>
              </w:rPr>
              <w:t>READ &amp; EXPLAIN</w:t>
            </w:r>
            <w:r>
              <w:rPr>
                <w:b/>
                <w:bCs/>
                <w:color w:val="FF950E"/>
              </w:rPr>
              <w:t xml:space="preserve"> </w:t>
            </w:r>
            <w:r>
              <w:rPr>
                <w:bCs/>
                <w:color w:val="FF950E"/>
              </w:rPr>
              <w:t>Emission Standards in United States</w:t>
            </w:r>
          </w:p>
          <w:p w:rsidR="00000000" w:rsidRDefault="003C2130">
            <w:pPr>
              <w:pStyle w:val="SLIDE2"/>
              <w:rPr>
                <w:b/>
                <w:bCs/>
                <w:color w:val="FF950E"/>
              </w:rPr>
            </w:pPr>
            <w:r>
              <w:rPr>
                <w:b/>
                <w:bCs/>
                <w:color w:val="FF950E"/>
              </w:rPr>
              <w:t xml:space="preserve">12.  SLIDE 12 </w:t>
            </w:r>
            <w:r>
              <w:rPr>
                <w:b/>
                <w:bCs/>
                <w:color w:val="FF950E"/>
              </w:rPr>
              <w:t>EXPLAIN</w:t>
            </w:r>
            <w:r>
              <w:rPr>
                <w:b/>
                <w:bCs/>
                <w:color w:val="FF950E"/>
              </w:rPr>
              <w:t xml:space="preserve"> FIGURE 13-3  </w:t>
            </w:r>
            <w:r>
              <w:rPr>
                <w:bCs/>
                <w:color w:val="FF950E"/>
              </w:rPr>
              <w:t xml:space="preserve">The underhood decal showing that this Lexus RX-330 meets both national (Tier 2; BIN 5) and California LEV-II (ULEV) regulation standards </w:t>
            </w:r>
          </w:p>
          <w:p w:rsidR="00000000" w:rsidRDefault="003C2130">
            <w:pPr>
              <w:pStyle w:val="SLIDE2"/>
              <w:rPr>
                <w:b/>
                <w:bCs/>
                <w:color w:val="FF950E"/>
              </w:rPr>
            </w:pPr>
            <w:r>
              <w:rPr>
                <w:b/>
                <w:bCs/>
                <w:color w:val="FF950E"/>
              </w:rPr>
              <w:t xml:space="preserve">13.  SLIDE 13 </w:t>
            </w:r>
            <w:r>
              <w:rPr>
                <w:b/>
                <w:bCs/>
                <w:color w:val="FF950E"/>
              </w:rPr>
              <w:t>READ &amp; EXPLAIN</w:t>
            </w:r>
            <w:r>
              <w:rPr>
                <w:b/>
                <w:bCs/>
                <w:color w:val="FF950E"/>
              </w:rPr>
              <w:t xml:space="preserve"> </w:t>
            </w:r>
            <w:r>
              <w:rPr>
                <w:bCs/>
                <w:color w:val="FF950E"/>
              </w:rPr>
              <w:t>E</w:t>
            </w:r>
            <w:r>
              <w:rPr>
                <w:bCs/>
                <w:color w:val="FF950E"/>
              </w:rPr>
              <w:t>mission Standards in United States</w:t>
            </w:r>
          </w:p>
          <w:p w:rsidR="00000000" w:rsidRDefault="003C2130">
            <w:pPr>
              <w:pStyle w:val="SLIDE2"/>
              <w:rPr>
                <w:b/>
                <w:bCs/>
                <w:color w:val="FF950E"/>
              </w:rPr>
            </w:pPr>
            <w:r>
              <w:rPr>
                <w:b/>
                <w:bCs/>
                <w:color w:val="FF950E"/>
              </w:rPr>
              <w:t xml:space="preserve">14.  SLIDE 14 </w:t>
            </w:r>
            <w:r>
              <w:rPr>
                <w:b/>
                <w:bCs/>
                <w:color w:val="FF950E"/>
              </w:rPr>
              <w:t>READ &amp; EXPLAIN CHART 13-3  LEV Standard Categories</w:t>
            </w:r>
          </w:p>
          <w:p w:rsidR="00000000" w:rsidRDefault="003C2130">
            <w:pPr>
              <w:pStyle w:val="SLIDE2"/>
            </w:pPr>
            <w:r>
              <w:rPr>
                <w:b/>
                <w:bCs/>
                <w:color w:val="FF950E"/>
              </w:rPr>
              <w:t xml:space="preserve">15.  SLIDE 15 </w:t>
            </w:r>
            <w:r>
              <w:rPr>
                <w:b/>
                <w:bCs/>
                <w:color w:val="FF950E"/>
              </w:rPr>
              <w:t xml:space="preserve">READ &amp; EXPLAIN CHART 13-4  California LEV II 120,000-Mile Tailpipe Emissions Limits </w:t>
            </w:r>
          </w:p>
        </w:tc>
      </w:tr>
      <w:tr w:rsidR="00000000">
        <w:tc>
          <w:tcPr>
            <w:tcW w:w="2880" w:type="dxa"/>
            <w:tcBorders>
              <w:left w:val="single" w:sz="4" w:space="0" w:color="000000"/>
            </w:tcBorders>
            <w:shd w:val="clear" w:color="auto" w:fill="auto"/>
          </w:tcPr>
          <w:p w:rsidR="00000000" w:rsidRDefault="000F3258">
            <w:pPr>
              <w:pStyle w:val="NoSpacing"/>
              <w:rPr>
                <w:color w:val="0084D1"/>
                <w:sz w:val="28"/>
                <w:szCs w:val="28"/>
              </w:rPr>
            </w:pPr>
            <w:r>
              <w:rPr>
                <w:noProof/>
              </w:rPr>
              <w:drawing>
                <wp:inline distT="0" distB="0" distL="0" distR="0">
                  <wp:extent cx="777875" cy="76327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InstructorNoteText"/>
            </w:pPr>
            <w:r>
              <w:rPr>
                <w:color w:val="0084D1"/>
                <w:sz w:val="28"/>
                <w:szCs w:val="28"/>
              </w:rPr>
              <w:t>California Air Resources Board, or CARB, enforces some</w:t>
            </w:r>
            <w:r>
              <w:rPr>
                <w:color w:val="0084D1"/>
                <w:sz w:val="28"/>
                <w:szCs w:val="28"/>
              </w:rPr>
              <w:t xml:space="preserve"> of world’s strictest Air Pollution Standards.   Indian Tribes call LA area Valley of Smoke</w:t>
            </w:r>
          </w:p>
        </w:tc>
      </w:tr>
      <w:tr w:rsidR="00000000">
        <w:tc>
          <w:tcPr>
            <w:tcW w:w="2880" w:type="dxa"/>
            <w:tcBorders>
              <w:left w:val="single" w:sz="4" w:space="0" w:color="000000"/>
            </w:tcBorders>
            <w:shd w:val="clear" w:color="auto" w:fill="auto"/>
          </w:tcPr>
          <w:p w:rsidR="00000000" w:rsidRDefault="000F3258">
            <w:pPr>
              <w:pStyle w:val="NoSpacing"/>
              <w:rPr>
                <w:color w:val="FF950E"/>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FF950E"/>
              </w:rPr>
              <w:t xml:space="preserve">Have students </w:t>
            </w:r>
            <w:r>
              <w:rPr>
                <w:color w:val="FF950E"/>
                <w:u w:val="single"/>
              </w:rPr>
              <w:t>research</w:t>
            </w:r>
            <w:r>
              <w:rPr>
                <w:color w:val="FF950E"/>
              </w:rPr>
              <w:t xml:space="preserve"> problems of emissions in California, using terms </w:t>
            </w:r>
            <w:r>
              <w:rPr>
                <w:i/>
                <w:iCs/>
                <w:color w:val="FF950E"/>
              </w:rPr>
              <w:t>Photochemical Smog</w:t>
            </w:r>
            <w:r>
              <w:rPr>
                <w:color w:val="FF950E"/>
              </w:rPr>
              <w:t xml:space="preserve"> and </w:t>
            </w:r>
            <w:r>
              <w:rPr>
                <w:i/>
                <w:iCs/>
                <w:color w:val="FF950E"/>
              </w:rPr>
              <w:t>Los Angelos Valley Of Smoke Emissions</w:t>
            </w:r>
          </w:p>
        </w:tc>
      </w:tr>
      <w:tr w:rsidR="00000000">
        <w:tc>
          <w:tcPr>
            <w:tcW w:w="2880" w:type="dxa"/>
            <w:tcBorders>
              <w:left w:val="single" w:sz="4" w:space="0" w:color="000000"/>
            </w:tcBorders>
            <w:shd w:val="clear" w:color="auto" w:fill="auto"/>
          </w:tcPr>
          <w:p w:rsidR="00000000" w:rsidRDefault="000F3258">
            <w:pPr>
              <w:pStyle w:val="NoSpacing"/>
              <w:rPr>
                <w:color w:val="008000"/>
              </w:rPr>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rPr>
                <w:color w:val="FF950E"/>
              </w:rPr>
            </w:pPr>
            <w:r>
              <w:rPr>
                <w:color w:val="008000"/>
              </w:rPr>
              <w:t xml:space="preserve">Host </w:t>
            </w:r>
            <w:r>
              <w:rPr>
                <w:color w:val="008000"/>
                <w:u w:val="single"/>
              </w:rPr>
              <w:t>DISCUSSION</w:t>
            </w:r>
            <w:r>
              <w:rPr>
                <w:color w:val="008000"/>
              </w:rPr>
              <w:t xml:space="preserve"> on why Ca</w:t>
            </w:r>
            <w:r>
              <w:rPr>
                <w:color w:val="008000"/>
              </w:rPr>
              <w:t>lifornia emission standards &amp; results of Internet Research</w:t>
            </w:r>
          </w:p>
          <w:p w:rsidR="00000000" w:rsidRDefault="003C2130">
            <w:pPr>
              <w:rPr>
                <w:color w:val="FF950E"/>
              </w:rPr>
            </w:pP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drawing>
                <wp:inline distT="0" distB="0" distL="0" distR="0">
                  <wp:extent cx="806450" cy="64770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rPr>
                <w:b/>
                <w:bCs/>
                <w:color w:val="FF950E"/>
              </w:rPr>
            </w:pPr>
            <w:r>
              <w:rPr>
                <w:b/>
                <w:bCs/>
                <w:color w:val="FF950E"/>
              </w:rPr>
              <w:t xml:space="preserve">16.  SLIDE 16 </w:t>
            </w:r>
            <w:r>
              <w:rPr>
                <w:b/>
                <w:bCs/>
                <w:color w:val="FF950E"/>
              </w:rPr>
              <w:t>READ &amp; EXPLAIN</w:t>
            </w:r>
            <w:r>
              <w:rPr>
                <w:b/>
                <w:bCs/>
                <w:color w:val="FF950E"/>
              </w:rPr>
              <w:t xml:space="preserve"> </w:t>
            </w:r>
            <w:r>
              <w:rPr>
                <w:bCs/>
                <w:color w:val="FF950E"/>
              </w:rPr>
              <w:t>Emission Standards in United States</w:t>
            </w:r>
          </w:p>
          <w:p w:rsidR="00000000" w:rsidRDefault="003C2130">
            <w:pPr>
              <w:pStyle w:val="SLIDE2"/>
              <w:rPr>
                <w:b/>
                <w:bCs/>
                <w:color w:val="FF950E"/>
              </w:rPr>
            </w:pPr>
            <w:r>
              <w:rPr>
                <w:b/>
                <w:bCs/>
                <w:color w:val="FF950E"/>
              </w:rPr>
              <w:t xml:space="preserve">17.  SLIDE 17 </w:t>
            </w:r>
            <w:r>
              <w:rPr>
                <w:b/>
                <w:bCs/>
                <w:color w:val="FF950E"/>
              </w:rPr>
              <w:t>READ &amp; EXPLAIN CHART 13-5  EPA Tier 2—120,000-Mile Tailpipe Emission Limits</w:t>
            </w:r>
          </w:p>
          <w:p w:rsidR="00000000" w:rsidRDefault="003C2130">
            <w:pPr>
              <w:pStyle w:val="SLIDE2"/>
              <w:rPr>
                <w:b/>
                <w:bCs/>
                <w:color w:val="FF950E"/>
              </w:rPr>
            </w:pPr>
            <w:r>
              <w:rPr>
                <w:b/>
                <w:bCs/>
                <w:color w:val="FF950E"/>
              </w:rPr>
              <w:t xml:space="preserve">18.  SLIDE 18 </w:t>
            </w:r>
            <w:r>
              <w:rPr>
                <w:b/>
                <w:bCs/>
                <w:color w:val="FF950E"/>
              </w:rPr>
              <w:t>READ &amp; EXPLAIN CHART 13-</w:t>
            </w:r>
            <w:r>
              <w:rPr>
                <w:b/>
                <w:bCs/>
                <w:color w:val="FF950E"/>
              </w:rPr>
              <w:t xml:space="preserve">6  Air </w:t>
            </w:r>
            <w:r>
              <w:rPr>
                <w:b/>
                <w:bCs/>
                <w:color w:val="FF950E"/>
              </w:rPr>
              <w:lastRenderedPageBreak/>
              <w:t>Pollution Score</w:t>
            </w:r>
          </w:p>
          <w:p w:rsidR="00000000" w:rsidRDefault="003C2130">
            <w:pPr>
              <w:pStyle w:val="SLIDE2"/>
              <w:rPr>
                <w:b/>
                <w:bCs/>
                <w:color w:val="FF950E"/>
              </w:rPr>
            </w:pPr>
            <w:r>
              <w:rPr>
                <w:b/>
                <w:bCs/>
                <w:color w:val="FF950E"/>
              </w:rPr>
              <w:t xml:space="preserve">19.  SLIDE 19 </w:t>
            </w:r>
            <w:r>
              <w:rPr>
                <w:b/>
                <w:bCs/>
                <w:color w:val="FF950E"/>
              </w:rPr>
              <w:t>READ &amp; EXPLAIN</w:t>
            </w:r>
            <w:r>
              <w:rPr>
                <w:b/>
                <w:bCs/>
                <w:color w:val="FF950E"/>
              </w:rPr>
              <w:t xml:space="preserve"> Calibration Codes</w:t>
            </w:r>
          </w:p>
          <w:p w:rsidR="00000000" w:rsidRDefault="003C2130">
            <w:pPr>
              <w:pStyle w:val="SLIDE2"/>
            </w:pPr>
            <w:r>
              <w:rPr>
                <w:b/>
                <w:bCs/>
                <w:color w:val="FF950E"/>
              </w:rPr>
              <w:t xml:space="preserve">20. SLIDE 20 </w:t>
            </w:r>
            <w:r>
              <w:rPr>
                <w:b/>
                <w:bCs/>
                <w:color w:val="FF950E"/>
              </w:rPr>
              <w:t>EXPLAIN</w:t>
            </w:r>
            <w:r>
              <w:rPr>
                <w:b/>
                <w:bCs/>
                <w:color w:val="FF950E"/>
              </w:rPr>
              <w:t xml:space="preserve"> FIGURE 13-4 </w:t>
            </w:r>
            <w:r>
              <w:rPr>
                <w:bCs/>
                <w:color w:val="FF950E"/>
              </w:rPr>
              <w:t>typical computer calibration sticker on case of controller. The information on sticker is often needed when ordering parts or a replacement controller.</w:t>
            </w:r>
          </w:p>
        </w:tc>
      </w:tr>
      <w:tr w:rsidR="00000000">
        <w:tc>
          <w:tcPr>
            <w:tcW w:w="2880" w:type="dxa"/>
            <w:tcBorders>
              <w:left w:val="single" w:sz="4" w:space="0" w:color="000000"/>
            </w:tcBorders>
            <w:shd w:val="clear" w:color="auto" w:fill="auto"/>
          </w:tcPr>
          <w:p w:rsidR="00000000" w:rsidRDefault="000F3258">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SLIDE2"/>
              <w:rPr>
                <w:b/>
                <w:bCs/>
                <w:color w:val="FF950E"/>
              </w:rPr>
            </w:pPr>
            <w:r>
              <w:rPr>
                <w:b/>
                <w:bCs/>
                <w:color w:val="FF950E"/>
              </w:rPr>
              <w:t xml:space="preserve">21. SLIDE 21 </w:t>
            </w:r>
            <w:r>
              <w:rPr>
                <w:b/>
                <w:bCs/>
                <w:color w:val="FF950E"/>
              </w:rPr>
              <w:t>READ &amp; EXPLAIN</w:t>
            </w:r>
            <w:r>
              <w:rPr>
                <w:b/>
                <w:bCs/>
                <w:color w:val="FF950E"/>
              </w:rPr>
              <w:t xml:space="preserve"> Casting Numbers</w:t>
            </w:r>
          </w:p>
          <w:p w:rsidR="00000000" w:rsidRDefault="003C2130">
            <w:pPr>
              <w:pStyle w:val="SLIDE2"/>
            </w:pPr>
            <w:r>
              <w:rPr>
                <w:b/>
                <w:bCs/>
                <w:color w:val="FF950E"/>
              </w:rPr>
              <w:t xml:space="preserve">22.  SLIDE 22 </w:t>
            </w:r>
            <w:r>
              <w:rPr>
                <w:b/>
                <w:bCs/>
                <w:color w:val="FF950E"/>
              </w:rPr>
              <w:t>EXPLAIN</w:t>
            </w:r>
            <w:r>
              <w:rPr>
                <w:b/>
                <w:bCs/>
                <w:color w:val="FF950E"/>
              </w:rPr>
              <w:t xml:space="preserve"> FIGURE 16-5 Engine block identification number cast into the block is used for identification.</w:t>
            </w:r>
          </w:p>
        </w:tc>
      </w:tr>
      <w:tr w:rsidR="00000000">
        <w:tc>
          <w:tcPr>
            <w:tcW w:w="2880" w:type="dxa"/>
            <w:tcBorders>
              <w:left w:val="single" w:sz="4" w:space="0" w:color="000000"/>
            </w:tcBorders>
            <w:shd w:val="clear" w:color="auto" w:fill="auto"/>
          </w:tcPr>
          <w:p w:rsidR="00000000" w:rsidRDefault="000F3258">
            <w:pPr>
              <w:pStyle w:val="NoSpacing"/>
              <w:rPr>
                <w:color w:val="0084D1"/>
              </w:rPr>
            </w:pPr>
            <w:r>
              <w:rPr>
                <w:noProof/>
              </w:rPr>
              <w:drawing>
                <wp:inline distT="0" distB="0" distL="0" distR="0">
                  <wp:extent cx="619125" cy="63373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3C2130">
            <w:pPr>
              <w:pStyle w:val="CurrAsset"/>
            </w:pPr>
            <w:r>
              <w:rPr>
                <w:color w:val="0084D1"/>
              </w:rPr>
              <w:t xml:space="preserve">complete Chapter 13 crossword puzzle: </w:t>
            </w:r>
            <w:hyperlink r:id="rId14" w:history="1">
              <w:r>
                <w:rPr>
                  <w:rStyle w:val="Hyperlink"/>
                  <w:color w:val="0084D1"/>
                </w:rPr>
                <w:t>http://www.jameshalderman.com/links/book_intro/cw/crossword_ch_13.pdf</w:t>
              </w:r>
            </w:hyperlink>
            <w:r>
              <w:rPr>
                <w:color w:val="0084D1"/>
              </w:rPr>
              <w:t xml:space="preserve"> </w:t>
            </w:r>
          </w:p>
        </w:tc>
      </w:tr>
    </w:tbl>
    <w:p w:rsidR="003C2130" w:rsidRDefault="003C2130"/>
    <w:sectPr w:rsidR="003C2130">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8"/>
    <w:rsid w:val="000F3258"/>
    <w:rsid w:val="003C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6CBEB7-03B2-2943-AB9D-99DBEE3E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customStyle="1" w:styleId="InstructorNoteTextChar">
    <w:name w:val="InstructorNoteText Char"/>
    <w:basedOn w:val="DefaultParagraphFont0"/>
    <w:rPr>
      <w:rFonts w:ascii="Tahoma" w:hAnsi="Tahoma" w:cs="Tahoma"/>
      <w:b/>
      <w:color w:val="0000FF"/>
      <w:sz w:val="22"/>
      <w:szCs w:val="18"/>
      <w:lang w:val="en-US" w:eastAsia="ar-SA" w:bidi="ar-SA"/>
    </w:rPr>
  </w:style>
  <w:style w:type="character" w:customStyle="1" w:styleId="SLIDE1Char">
    <w:name w:val="SLIDE 1 Char"/>
    <w:basedOn w:val="DefaultParagraphFont0"/>
    <w:rPr>
      <w:rFonts w:eastAsia="MS Mincho"/>
      <w:b/>
      <w:bCs/>
      <w:sz w:val="24"/>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InstructorNOTE">
    <w:name w:val="InstructorNOTE"/>
    <w:pPr>
      <w:suppressAutoHyphens/>
    </w:pPr>
    <w:rPr>
      <w:rFonts w:ascii="Tahoma" w:hAnsi="Tahoma" w:cs="Tahoma"/>
      <w:b/>
      <w:bCs/>
      <w:color w:val="0000FF"/>
      <w:sz w:val="36"/>
      <w:szCs w:val="32"/>
      <w:lang w:eastAsia="ar-SA"/>
    </w:rPr>
  </w:style>
  <w:style w:type="paragraph" w:customStyle="1" w:styleId="SLIDE2">
    <w:name w:val="SLIDE 2"/>
    <w:basedOn w:val="Normal"/>
    <w:pPr>
      <w:spacing w:before="60"/>
      <w:ind w:left="720" w:hanging="432"/>
    </w:pPr>
    <w:rPr>
      <w:rFonts w:eastAsia="MS Mincho"/>
    </w:rPr>
  </w:style>
  <w:style w:type="paragraph" w:customStyle="1" w:styleId="QuestANS">
    <w:name w:val="QuestANS"/>
    <w:pPr>
      <w:suppressAutoHyphens/>
      <w:ind w:left="576"/>
    </w:pPr>
    <w:rPr>
      <w:rFonts w:ascii="Arial" w:eastAsia="MS Mincho" w:hAnsi="Arial" w:cs="Arial"/>
      <w:sz w:val="22"/>
      <w:szCs w:val="24"/>
      <w:lang w:eastAsia="ar-SA"/>
    </w:rPr>
  </w:style>
  <w:style w:type="paragraph" w:customStyle="1" w:styleId="InstructorNoteText">
    <w:name w:val="InstructorNoteText"/>
    <w:pPr>
      <w:suppressAutoHyphens/>
    </w:pPr>
    <w:rPr>
      <w:rFonts w:ascii="Tahoma" w:hAnsi="Tahoma" w:cs="Tahoma"/>
      <w:b/>
      <w:color w:val="0000FF"/>
      <w:sz w:val="22"/>
      <w:szCs w:val="18"/>
      <w:lang w:eastAsia="ar-SA"/>
    </w:rPr>
  </w:style>
  <w:style w:type="paragraph" w:customStyle="1" w:styleId="SLIDE1">
    <w:name w:val="SLIDE 1"/>
    <w:basedOn w:val="SLIDE2"/>
    <w:pPr>
      <w:ind w:left="576" w:hanging="288"/>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links/book_intro/cw/crossword_ch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2019-07-18T16:06:00Z</dcterms:created>
  <dcterms:modified xsi:type="dcterms:W3CDTF">2019-07-18T16:06:00Z</dcterms:modified>
</cp:coreProperties>
</file>